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67"/>
        <w:jc w:val="center"/>
        <w:rPr>
          <w:rFonts w:ascii="Arial" w:hAnsi="Arial" w:cs="Arial"/>
          <w:b/>
          <w:iCs/>
          <w:color w:val="auto"/>
          <w:sz w:val="22"/>
          <w:szCs w:val="22"/>
        </w:rPr>
      </w:pPr>
      <w:r>
        <w:rPr>
          <w:rFonts w:cs="Arial" w:ascii="Arial" w:hAnsi="Arial"/>
          <w:b/>
          <w:iCs/>
          <w:color w:val="auto"/>
          <w:sz w:val="22"/>
          <w:szCs w:val="22"/>
        </w:rPr>
        <w:t>TRANSPORTO PRIEMONIŲ VALDYTOJŲ CIVILINĖS</w:t>
      </w:r>
    </w:p>
    <w:p>
      <w:pPr>
        <w:pStyle w:val="Normal"/>
        <w:ind w:firstLine="567"/>
        <w:jc w:val="center"/>
        <w:rPr>
          <w:rFonts w:ascii="Arial" w:hAnsi="Arial" w:cs="Arial"/>
          <w:b/>
          <w:iCs/>
          <w:color w:val="auto"/>
          <w:sz w:val="22"/>
          <w:szCs w:val="22"/>
        </w:rPr>
      </w:pPr>
      <w:r>
        <w:rPr>
          <w:rFonts w:cs="Arial" w:ascii="Arial" w:hAnsi="Arial"/>
          <w:b/>
          <w:iCs/>
          <w:color w:val="auto"/>
          <w:sz w:val="22"/>
          <w:szCs w:val="22"/>
        </w:rPr>
        <w:t>ATSAKOMYBĖS PRIVALOMOJO DRAUDIMO (TPVCA)</w:t>
      </w:r>
    </w:p>
    <w:p>
      <w:pPr>
        <w:pStyle w:val="Normal"/>
        <w:ind w:firstLine="567"/>
        <w:jc w:val="center"/>
        <w:rPr>
          <w:rFonts w:ascii="Arial" w:hAnsi="Arial" w:cs="Arial"/>
          <w:b/>
          <w:iCs/>
          <w:color w:val="auto"/>
          <w:sz w:val="22"/>
          <w:szCs w:val="22"/>
        </w:rPr>
      </w:pPr>
      <w:r>
        <w:rPr>
          <w:rFonts w:cs="Arial" w:ascii="Arial" w:hAnsi="Arial"/>
          <w:b/>
          <w:color w:val="auto"/>
          <w:sz w:val="22"/>
          <w:szCs w:val="22"/>
        </w:rPr>
        <w:t>PIRKIMO TECHNINĖ SPECIFIKACIJA</w:t>
      </w:r>
    </w:p>
    <w:p>
      <w:pPr>
        <w:pStyle w:val="Normal"/>
        <w:ind w:firstLine="567"/>
        <w:jc w:val="center"/>
        <w:rPr>
          <w:rFonts w:ascii="Arial" w:hAnsi="Arial" w:cs="Arial"/>
          <w:b/>
          <w:color w:val="auto"/>
          <w:sz w:val="22"/>
          <w:szCs w:val="22"/>
        </w:rPr>
      </w:pPr>
      <w:r>
        <w:rPr>
          <w:rFonts w:cs="Arial" w:ascii="Arial" w:hAnsi="Arial"/>
          <w:b/>
          <w:color w:val="auto"/>
          <w:sz w:val="22"/>
          <w:szCs w:val="22"/>
        </w:rPr>
      </w:r>
    </w:p>
    <w:p>
      <w:pPr>
        <w:pStyle w:val="Heading41"/>
        <w:keepNext w:val="true"/>
        <w:keepLines/>
        <w:shd w:val="clear" w:color="auto" w:fill="auto"/>
        <w:spacing w:lineRule="auto" w:line="240" w:before="0" w:after="0"/>
        <w:ind w:firstLine="567" w:right="55"/>
        <w:jc w:val="both"/>
        <w:rPr>
          <w:rFonts w:ascii="Arial" w:hAnsi="Arial" w:cs="Arial"/>
          <w:sz w:val="22"/>
          <w:szCs w:val="22"/>
        </w:rPr>
      </w:pPr>
      <w:r>
        <w:rPr>
          <w:rFonts w:cs="Arial" w:ascii="Arial" w:hAnsi="Arial"/>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sz w:val="22"/>
          <w:szCs w:val="22"/>
        </w:rPr>
        <w:t>1.1. Transporto priemonių valdytojų civilinės atsakomybės privalomasis draudimas (toliau –TPVCA). BVPŽ kodas:</w:t>
      </w:r>
      <w:r>
        <w:rPr>
          <w:rFonts w:eastAsia="Times New Roman" w:ascii="Arial Unicode MS" w:hAnsi="Arial Unicode MS"/>
          <w:i w:val="false"/>
          <w:iCs w:val="false"/>
          <w:color w:val="000000"/>
          <w:sz w:val="24"/>
          <w:szCs w:val="24"/>
          <w:lang w:eastAsia="lt-LT"/>
        </w:rPr>
        <w:t xml:space="preserve"> </w:t>
      </w:r>
      <w:r>
        <w:rPr>
          <w:rFonts w:cs="Arial" w:ascii="Arial" w:hAnsi="Arial"/>
          <w:i w:val="false"/>
          <w:sz w:val="22"/>
          <w:szCs w:val="22"/>
        </w:rPr>
        <w:t>66516100-1</w:t>
      </w:r>
      <w:r>
        <w:rPr>
          <w:rFonts w:cs="Arial" w:ascii="Arial" w:hAnsi="Arial"/>
          <w:sz w:val="22"/>
          <w:szCs w:val="22"/>
        </w:rPr>
        <w:t xml:space="preserve"> </w:t>
      </w:r>
      <w:r>
        <w:rPr>
          <w:rFonts w:cs="Arial" w:ascii="Arial" w:hAnsi="Arial"/>
          <w:i w:val="false"/>
          <w:iCs w:val="false"/>
          <w:sz w:val="22"/>
          <w:szCs w:val="22"/>
        </w:rPr>
        <w:t>(Motorinių transporto priemonių civilinės atsakomybės draudimo paslaugos).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1.2. TPVCA privalomuoju draudimu apdraudžiamų transporto priemonių sąrašas pateiktas Techninės specifikacijos Priede Nr. 1.</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1.3. Paslaugų tiekimo trukmė – 12 mėnesių su galimybe sutartį pratęsti 1 kartą 12 mėnesių.</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1.4. Jei likus 60 (šešiasdešimt) kalendorinių dienų iki sutarties galiojimo pabaigos nei viena iš Šalių nepateikia pageidavimo nutraukti sutartį, laikoma, jog sutarties galiojimas tomis pačiomis sąlygomis pratęsiamas dar vieneriems metams.</w:t>
      </w:r>
    </w:p>
    <w:p>
      <w:pPr>
        <w:pStyle w:val="Bodytext21"/>
        <w:shd w:val="clear" w:color="auto" w:fill="auto"/>
        <w:tabs>
          <w:tab w:val="clear" w:pos="1296"/>
          <w:tab w:val="left" w:pos="0" w:leader="none"/>
        </w:tabs>
        <w:spacing w:lineRule="auto" w:line="240"/>
        <w:ind w:hanging="0" w:right="55"/>
        <w:jc w:val="both"/>
        <w:rPr>
          <w:rFonts w:ascii="Arial" w:hAnsi="Arial" w:cs="Arial"/>
          <w:sz w:val="22"/>
          <w:szCs w:val="22"/>
        </w:rPr>
      </w:pPr>
      <w:r>
        <w:rPr>
          <w:rFonts w:cs="Arial" w:ascii="Arial" w:hAnsi="Arial"/>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b/>
          <w:sz w:val="22"/>
          <w:szCs w:val="22"/>
          <w:shd w:fill="FFFFFF" w:val="clear"/>
        </w:rPr>
      </w:pPr>
      <w:r>
        <w:rPr>
          <w:rStyle w:val="Bodytext2NotItalic2"/>
          <w:rFonts w:cs="Arial" w:ascii="Arial" w:hAnsi="Arial"/>
          <w:b/>
          <w:i w:val="false"/>
          <w:iCs w:val="false"/>
          <w:sz w:val="22"/>
          <w:szCs w:val="22"/>
        </w:rPr>
        <w:t xml:space="preserve">2. PIRKIMO OBJEKTO PRITAIKYMO SRITIS </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2.1. Pirkimo objektas į pirkimo dalis neskaidomas.</w:t>
      </w:r>
    </w:p>
    <w:p>
      <w:pPr>
        <w:pStyle w:val="Bodytext21"/>
        <w:tabs>
          <w:tab w:val="clear" w:pos="1296"/>
          <w:tab w:val="left" w:pos="9072"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2.2. Preliminarus draudžiamų transporto priemonių kiekis:</w:t>
      </w:r>
    </w:p>
    <w:p>
      <w:pPr>
        <w:pStyle w:val="Bodytext21"/>
        <w:tabs>
          <w:tab w:val="clear" w:pos="1296"/>
          <w:tab w:val="left" w:pos="9072"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 xml:space="preserve"> </w:t>
      </w:r>
    </w:p>
    <w:tbl>
      <w:tblPr>
        <w:tblW w:w="936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993"/>
        <w:gridCol w:w="1554"/>
        <w:gridCol w:w="5246"/>
        <w:gridCol w:w="1567"/>
      </w:tblGrid>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52"/>
              <w:jc w:val="center"/>
              <w:rPr>
                <w:rFonts w:ascii="Arial" w:hAnsi="Arial" w:eastAsia="Calibri" w:cs="Arial"/>
                <w:b/>
                <w:sz w:val="22"/>
                <w:szCs w:val="22"/>
                <w:lang w:eastAsia="zh-CN"/>
              </w:rPr>
            </w:pPr>
            <w:r>
              <w:rPr>
                <w:rFonts w:eastAsia="Calibri" w:cs="Arial" w:ascii="Arial" w:hAnsi="Arial"/>
                <w:b/>
                <w:sz w:val="22"/>
                <w:szCs w:val="22"/>
              </w:rPr>
              <w:t>Eil. Nr.</w:t>
            </w:r>
          </w:p>
        </w:tc>
        <w:tc>
          <w:tcPr>
            <w:tcW w:w="15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eastAsia="Calibri" w:cs="Arial"/>
                <w:b/>
                <w:sz w:val="22"/>
                <w:szCs w:val="22"/>
                <w:lang w:eastAsia="zh-CN"/>
              </w:rPr>
            </w:pPr>
            <w:r>
              <w:rPr>
                <w:rFonts w:eastAsia="Calibri" w:cs="Arial" w:ascii="Arial" w:hAnsi="Arial"/>
                <w:b/>
                <w:sz w:val="22"/>
                <w:szCs w:val="22"/>
                <w:lang w:eastAsia="zh-CN"/>
              </w:rPr>
              <w:t>Tipas (kategorija)</w:t>
            </w:r>
          </w:p>
        </w:tc>
        <w:tc>
          <w:tcPr>
            <w:tcW w:w="52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eastAsia="Calibri" w:cs="Arial"/>
                <w:b/>
                <w:sz w:val="22"/>
                <w:szCs w:val="22"/>
              </w:rPr>
            </w:pPr>
            <w:r>
              <w:rPr>
                <w:rFonts w:eastAsia="Calibri" w:cs="Arial" w:ascii="Arial" w:hAnsi="Arial"/>
                <w:b/>
                <w:sz w:val="22"/>
                <w:szCs w:val="22"/>
                <w:lang w:eastAsia="zh-CN"/>
              </w:rPr>
              <w:t>Transporto priemonės kategorija</w:t>
            </w:r>
          </w:p>
        </w:tc>
        <w:tc>
          <w:tcPr>
            <w:tcW w:w="156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eastAsia="Calibri" w:cs="Arial"/>
                <w:b/>
                <w:sz w:val="22"/>
                <w:szCs w:val="22"/>
              </w:rPr>
            </w:pPr>
            <w:r>
              <w:rPr>
                <w:rFonts w:eastAsia="Calibri" w:cs="Arial" w:ascii="Arial" w:hAnsi="Arial"/>
                <w:b/>
                <w:sz w:val="22"/>
                <w:szCs w:val="22"/>
              </w:rPr>
              <w:t>Preliminarus kiekis</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rPr>
              <w:t>1.</w:t>
            </w:r>
          </w:p>
        </w:tc>
        <w:tc>
          <w:tcPr>
            <w:tcW w:w="1554" w:type="dxa"/>
            <w:tcBorders>
              <w:top w:val="single" w:sz="4" w:space="0" w:color="000000"/>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M1</w:t>
            </w:r>
          </w:p>
        </w:tc>
        <w:tc>
          <w:tcPr>
            <w:tcW w:w="52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rPr>
            </w:pPr>
            <w:r>
              <w:rPr>
                <w:rFonts w:cs="Arial" w:ascii="Arial" w:hAnsi="Arial"/>
                <w:bCs/>
                <w:sz w:val="22"/>
                <w:szCs w:val="22"/>
              </w:rPr>
              <w:t>Lengvasis automobilis</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520</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rPr>
              <w:t xml:space="preserve">2. </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M2</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rPr>
            </w:pPr>
            <w:r>
              <w:rPr>
                <w:rFonts w:cs="Arial" w:ascii="Arial" w:hAnsi="Arial"/>
                <w:bCs/>
                <w:sz w:val="22"/>
                <w:szCs w:val="22"/>
              </w:rPr>
              <w:t>Autobusas iki 5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2</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rPr>
              <w:t xml:space="preserve">3. </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N1</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rPr>
            </w:pPr>
            <w:r>
              <w:rPr>
                <w:rFonts w:cs="Arial" w:ascii="Arial" w:hAnsi="Arial"/>
                <w:bCs/>
                <w:sz w:val="22"/>
                <w:szCs w:val="22"/>
              </w:rPr>
              <w:t>Krovininis automobilis iki 3,5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473</w:t>
            </w:r>
          </w:p>
        </w:tc>
      </w:tr>
      <w:tr>
        <w:trPr>
          <w:trHeight w:val="241"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rPr>
              <w:t>4.</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N2</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lang w:eastAsia="zh-CN"/>
              </w:rPr>
            </w:pPr>
            <w:r>
              <w:rPr>
                <w:rFonts w:cs="Arial" w:ascii="Arial" w:hAnsi="Arial"/>
                <w:bCs/>
                <w:sz w:val="22"/>
                <w:szCs w:val="22"/>
              </w:rPr>
              <w:t>Krovininis automobilis nuo 3,5 t iki 12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42</w:t>
            </w:r>
          </w:p>
        </w:tc>
      </w:tr>
      <w:tr>
        <w:trPr>
          <w:trHeight w:val="344"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rPr>
            </w:pPr>
            <w:r>
              <w:rPr>
                <w:rFonts w:eastAsia="Calibri" w:cs="Arial" w:ascii="Arial" w:hAnsi="Arial"/>
                <w:bCs/>
                <w:sz w:val="22"/>
                <w:szCs w:val="22"/>
                <w:lang w:eastAsia="zh-CN"/>
              </w:rPr>
              <w:t>5.</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N3</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Krovininis automobilis virš 12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87</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lang w:eastAsia="zh-CN"/>
              </w:rPr>
              <w:t>6.</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O1</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kai b. m. mažiau arba lygu  0,75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191</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lang w:eastAsia="zh-CN"/>
              </w:rPr>
              <w:t>7.</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O2</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arba puspriekabė nuo 0,75 t iki 3,5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9</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lang w:eastAsia="zh-CN"/>
              </w:rPr>
              <w:t>8.</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O3</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arba puspriekabė nuo 3,5 t iki 10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1</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lang w:eastAsia="zh-CN"/>
              </w:rPr>
              <w:t>9.</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O4</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arba puspriekabė virš 10 t</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58</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lang w:eastAsia="zh-CN"/>
              </w:rPr>
              <w:t>10.</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t>L3E</w:t>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Elektrinis motociklas</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cs="Arial"/>
                <w:bCs/>
                <w:sz w:val="22"/>
                <w:szCs w:val="22"/>
              </w:rPr>
            </w:pPr>
            <w:r>
              <w:rPr>
                <w:rFonts w:cs="Arial" w:ascii="Arial" w:hAnsi="Arial"/>
                <w:sz w:val="22"/>
                <w:szCs w:val="22"/>
              </w:rPr>
              <w:t>1</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lang w:eastAsia="zh-CN"/>
              </w:rPr>
              <w:t>11.</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Mobili technika</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355</w:t>
            </w:r>
          </w:p>
        </w:tc>
      </w:tr>
      <w:tr>
        <w:trPr>
          <w:trHeight w:val="180" w:hRule="atLeast"/>
        </w:trPr>
        <w:tc>
          <w:tcPr>
            <w:tcW w:w="993" w:type="dxa"/>
            <w:tcBorders>
              <w:top w:val="single" w:sz="4" w:space="0" w:color="000000"/>
              <w:left w:val="single" w:sz="4" w:space="0" w:color="000000"/>
              <w:bottom w:val="single" w:sz="4" w:space="0" w:color="000000"/>
            </w:tcBorders>
            <w:vAlign w:val="center"/>
          </w:tcPr>
          <w:p>
            <w:pPr>
              <w:pStyle w:val="Normal"/>
              <w:spacing w:lineRule="auto" w:line="276"/>
              <w:jc w:val="center"/>
              <w:rPr>
                <w:rFonts w:ascii="Arial" w:hAnsi="Arial" w:eastAsia="Calibri" w:cs="Arial"/>
                <w:bCs/>
                <w:sz w:val="22"/>
                <w:szCs w:val="22"/>
                <w:lang w:eastAsia="zh-CN"/>
              </w:rPr>
            </w:pPr>
            <w:r>
              <w:rPr>
                <w:rFonts w:eastAsia="Calibri" w:cs="Arial" w:ascii="Arial" w:hAnsi="Arial"/>
                <w:bCs/>
                <w:sz w:val="22"/>
                <w:szCs w:val="22"/>
                <w:lang w:eastAsia="zh-CN"/>
              </w:rPr>
              <w:t>12.</w:t>
            </w:r>
          </w:p>
        </w:tc>
        <w:tc>
          <w:tcPr>
            <w:tcW w:w="1554" w:type="dxa"/>
            <w:tcBorders>
              <w:left w:val="single" w:sz="4" w:space="0" w:color="000000"/>
              <w:bottom w:val="single" w:sz="4" w:space="0" w:color="000000"/>
              <w:right w:val="single" w:sz="4" w:space="0" w:color="000000"/>
            </w:tcBorders>
          </w:tcPr>
          <w:p>
            <w:pPr>
              <w:pStyle w:val="Normal"/>
              <w:spacing w:lineRule="auto" w:line="252"/>
              <w:jc w:val="center"/>
              <w:rPr>
                <w:rFonts w:ascii="Arial" w:hAnsi="Arial" w:cs="Arial"/>
                <w:bCs/>
                <w:sz w:val="22"/>
                <w:szCs w:val="22"/>
              </w:rPr>
            </w:pPr>
            <w:r>
              <w:rPr>
                <w:rFonts w:cs="Arial" w:ascii="Arial" w:hAnsi="Arial"/>
                <w:bCs/>
                <w:sz w:val="22"/>
                <w:szCs w:val="22"/>
              </w:rPr>
            </w:r>
          </w:p>
        </w:tc>
        <w:tc>
          <w:tcPr>
            <w:tcW w:w="5246"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Mobilios technikos priekaba</w:t>
            </w:r>
          </w:p>
        </w:tc>
        <w:tc>
          <w:tcPr>
            <w:tcW w:w="1567" w:type="dxa"/>
            <w:tcBorders>
              <w:top w:val="single" w:sz="4" w:space="0" w:color="000000"/>
              <w:left w:val="dotted" w:sz="4" w:space="0" w:color="000000"/>
              <w:bottom w:val="single" w:sz="4" w:space="0" w:color="000000"/>
              <w:right w:val="single" w:sz="4" w:space="0" w:color="000000"/>
            </w:tcBorders>
            <w:vAlign w:val="bottom"/>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96</w:t>
            </w:r>
          </w:p>
        </w:tc>
      </w:tr>
    </w:tbl>
    <w:p>
      <w:pPr>
        <w:pStyle w:val="Bodytext21"/>
        <w:tabs>
          <w:tab w:val="clear" w:pos="1296"/>
          <w:tab w:val="left" w:pos="9072"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r>
    </w:p>
    <w:p>
      <w:pPr>
        <w:pStyle w:val="Normal"/>
        <w:shd w:val="clear" w:color="auto" w:fill="FFFFFF"/>
        <w:tabs>
          <w:tab w:val="clear" w:pos="1296"/>
          <w:tab w:val="left" w:pos="567" w:leader="none"/>
          <w:tab w:val="left" w:pos="993" w:leader="none"/>
        </w:tabs>
        <w:jc w:val="both"/>
        <w:rPr>
          <w:rFonts w:ascii="Arial" w:hAnsi="Arial" w:cs="Arial"/>
          <w:sz w:val="22"/>
          <w:szCs w:val="22"/>
        </w:rPr>
      </w:pPr>
      <w:r>
        <w:rPr>
          <w:rFonts w:cs="Arial" w:ascii="Arial" w:hAnsi="Arial"/>
          <w:sz w:val="22"/>
          <w:szCs w:val="22"/>
        </w:rPr>
        <w:t>2.3. Draudžiamų transporto priemonių skaičius 1833 vnt. Sutarties vykdymo metu perkančioji organizacija gali keisti (didinti, mažinti) bendrą transporto priemonių kiekį 30 %. Paslaugų kiekiai yra preliminarūs, skirti paslaugų įkainiams nustatyti, pasiūlymo kainai (vertinimui) apskaičiuoti ir laimėtojui nustatyti, todėl perkančioji organizacija neįsipareigoja nupirkti viso nurodyto paslaugų kiekio. Transporto priemonių kiekiai, nurodyti Techninės specifikacijos 2.2 punkte gali kisti, t. y. įsigijus naujų transporto priemonių ir/ar nurašant senas, priklausomai nuo perkančiosios organizacijos poreikių. Sutarties galiojimo laikotarpiu bus užsakomos ir perkamos paslaugos pagal perkančiosios organizacijos realų poreikį ir skiriamą finansavimą. Pridedamas transporto priemonių valdytojų civilinės atsakomybės privalomuoju draudimu draudžiamų transporto priemonių detalus sąrašas  techninės specifikacijos Priedas Nr. 1.</w:t>
      </w:r>
    </w:p>
    <w:p>
      <w:pPr>
        <w:pStyle w:val="Normal"/>
        <w:widowControl w:val="false"/>
        <w:shd w:val="clear" w:color="auto" w:fill="FFFFFF"/>
        <w:tabs>
          <w:tab w:val="clear" w:pos="1296"/>
          <w:tab w:val="left" w:pos="567" w:leader="none"/>
          <w:tab w:val="left" w:pos="993" w:leader="none"/>
        </w:tabs>
        <w:jc w:val="both"/>
        <w:rPr>
          <w:rFonts w:ascii="Arial" w:hAnsi="Arial" w:cs="Arial"/>
          <w:bCs/>
          <w:iCs/>
          <w:color w:val="auto"/>
          <w:sz w:val="22"/>
          <w:szCs w:val="22"/>
        </w:rPr>
      </w:pPr>
      <w:r>
        <w:rPr>
          <w:rFonts w:cs="Arial" w:ascii="Arial" w:hAnsi="Arial"/>
          <w:bCs/>
          <w:iCs/>
          <w:color w:val="auto"/>
          <w:sz w:val="22"/>
          <w:szCs w:val="22"/>
        </w:rPr>
        <w:t>2.4. Draudimo apsaugos galiojimo teritorija:</w:t>
      </w:r>
    </w:p>
    <w:p>
      <w:pPr>
        <w:pStyle w:val="Normal"/>
        <w:widowControl w:val="false"/>
        <w:shd w:val="clear" w:color="auto" w:fill="FFFFFF"/>
        <w:tabs>
          <w:tab w:val="clear" w:pos="1296"/>
          <w:tab w:val="left" w:pos="567" w:leader="none"/>
          <w:tab w:val="left" w:pos="993" w:leader="none"/>
        </w:tabs>
        <w:jc w:val="both"/>
        <w:rPr>
          <w:rFonts w:ascii="Arial" w:hAnsi="Arial" w:cs="Arial"/>
          <w:color w:val="auto"/>
          <w:sz w:val="22"/>
          <w:szCs w:val="22"/>
        </w:rPr>
      </w:pPr>
      <w:r>
        <w:rPr>
          <w:rFonts w:cs="Arial" w:ascii="Arial" w:hAnsi="Arial"/>
          <w:color w:val="auto"/>
          <w:sz w:val="22"/>
          <w:szCs w:val="22"/>
        </w:rPr>
        <w:t>-</w:t>
      </w:r>
      <w:r>
        <w:rPr>
          <w:rFonts w:cs="Arial" w:ascii="Arial" w:hAnsi="Arial"/>
          <w:bCs/>
          <w:iCs/>
          <w:color w:val="auto"/>
          <w:sz w:val="22"/>
          <w:szCs w:val="22"/>
        </w:rPr>
        <w:t xml:space="preserve"> Lengviesiems automobiliams (M1) ir kroviniams automobiliams iki 3,5 t. (N1) – žalios kortelės sistemos šalys</w:t>
      </w:r>
      <w:r>
        <w:rPr>
          <w:rFonts w:cs="Arial" w:ascii="Arial" w:hAnsi="Arial"/>
          <w:color w:val="auto"/>
          <w:sz w:val="22"/>
          <w:szCs w:val="22"/>
        </w:rPr>
        <w:t xml:space="preserve"> (išskyrus Rusiją,  Baltarusiją, Ukrainą ir Moldovą);</w:t>
      </w:r>
    </w:p>
    <w:p>
      <w:pPr>
        <w:pStyle w:val="Normal"/>
        <w:widowControl w:val="false"/>
        <w:shd w:val="clear" w:color="auto" w:fill="FFFFFF"/>
        <w:tabs>
          <w:tab w:val="clear" w:pos="1296"/>
          <w:tab w:val="left" w:pos="567" w:leader="none"/>
          <w:tab w:val="left" w:pos="993" w:leader="none"/>
        </w:tabs>
        <w:jc w:val="both"/>
        <w:rPr>
          <w:rFonts w:ascii="Arial" w:hAnsi="Arial" w:cs="Arial"/>
          <w:color w:val="auto"/>
          <w:sz w:val="22"/>
          <w:szCs w:val="22"/>
        </w:rPr>
      </w:pPr>
      <w:r>
        <w:rPr>
          <w:rFonts w:cs="Arial" w:ascii="Arial" w:hAnsi="Arial"/>
          <w:color w:val="auto"/>
          <w:sz w:val="22"/>
          <w:szCs w:val="22"/>
        </w:rPr>
        <w:t>- Mobili technika ir jų priekabos – Lietuvos Respublikos teritorija;</w:t>
      </w:r>
    </w:p>
    <w:p>
      <w:pPr>
        <w:pStyle w:val="Normal"/>
        <w:widowControl w:val="false"/>
        <w:shd w:val="clear" w:color="auto" w:fill="FFFFFF"/>
        <w:tabs>
          <w:tab w:val="clear" w:pos="1296"/>
          <w:tab w:val="left" w:pos="567" w:leader="none"/>
          <w:tab w:val="left" w:pos="993" w:leader="none"/>
        </w:tabs>
        <w:jc w:val="both"/>
        <w:rPr>
          <w:rFonts w:ascii="Arial" w:hAnsi="Arial" w:cs="Arial"/>
          <w:color w:val="auto"/>
          <w:sz w:val="22"/>
          <w:szCs w:val="22"/>
        </w:rPr>
      </w:pPr>
      <w:r>
        <w:rPr>
          <w:rFonts w:cs="Arial" w:ascii="Arial" w:hAnsi="Arial"/>
          <w:color w:val="auto"/>
          <w:sz w:val="22"/>
          <w:szCs w:val="22"/>
        </w:rPr>
        <w:t>- Kitoms transporto priemonėms – Lietuvos Respublikos teritorija.</w:t>
      </w:r>
    </w:p>
    <w:p>
      <w:pPr>
        <w:pStyle w:val="Normal"/>
        <w:widowControl w:val="false"/>
        <w:shd w:val="clear" w:color="auto" w:fill="FFFFFF"/>
        <w:tabs>
          <w:tab w:val="clear" w:pos="1296"/>
          <w:tab w:val="left" w:pos="567" w:leader="none"/>
          <w:tab w:val="left" w:pos="993" w:leader="none"/>
        </w:tabs>
        <w:jc w:val="both"/>
        <w:rPr>
          <w:rFonts w:ascii="Arial" w:hAnsi="Arial" w:cs="Arial"/>
          <w:color w:val="auto"/>
          <w:sz w:val="22"/>
          <w:szCs w:val="22"/>
        </w:rPr>
      </w:pPr>
      <w:r>
        <w:rPr>
          <w:rFonts w:cs="Arial" w:ascii="Arial" w:hAnsi="Arial"/>
          <w:color w:val="auto"/>
          <w:sz w:val="22"/>
          <w:szCs w:val="22"/>
        </w:rPr>
        <w:t>2.5. Draudimo sutartis turi įsigalioti nuo 2026 m. rugsėjo 16 d. imtinai.</w:t>
      </w:r>
    </w:p>
    <w:p>
      <w:pPr>
        <w:pStyle w:val="Normal"/>
        <w:widowControl w:val="false"/>
        <w:shd w:val="clear" w:color="auto" w:fill="FFFFFF"/>
        <w:tabs>
          <w:tab w:val="clear" w:pos="1296"/>
          <w:tab w:val="left" w:pos="567" w:leader="none"/>
          <w:tab w:val="left" w:pos="993" w:leader="none"/>
        </w:tabs>
        <w:spacing w:before="0" w:after="60"/>
        <w:jc w:val="both"/>
        <w:rPr>
          <w:rFonts w:ascii="Arial" w:hAnsi="Arial" w:cs="Arial"/>
          <w:color w:val="auto"/>
          <w:sz w:val="22"/>
          <w:szCs w:val="22"/>
        </w:rPr>
      </w:pPr>
      <w:r>
        <w:rPr>
          <w:rFonts w:cs="Arial" w:ascii="Arial" w:hAnsi="Arial"/>
          <w:color w:val="auto"/>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sz w:val="22"/>
          <w:szCs w:val="22"/>
          <w:highlight w:val="yellow"/>
        </w:rPr>
      </w:pPr>
      <w:r>
        <w:rPr>
          <w:rFonts w:cs="Arial" w:ascii="Arial" w:hAnsi="Arial"/>
          <w:sz w:val="22"/>
          <w:szCs w:val="22"/>
          <w:highlight w:val="yellow"/>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3. TECHNINIŲ REIKALAVIMŲ, KURIUOS TURI ATITIKTI PERKAMOS PREKĖS /  PASLAUGOS APRAŠYMO BŪDAI</w:t>
      </w:r>
    </w:p>
    <w:p>
      <w:pPr>
        <w:pStyle w:val="Bodytext11"/>
        <w:shd w:val="clear" w:color="auto" w:fill="auto"/>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r>
    </w:p>
    <w:p>
      <w:pPr>
        <w:pStyle w:val="ListParagraph"/>
        <w:ind w:left="0"/>
        <w:jc w:val="both"/>
        <w:rPr>
          <w:rFonts w:ascii="Arial" w:hAnsi="Arial" w:eastAsia="Calibri" w:cs="Arial" w:eastAsiaTheme="minorHAnsi"/>
          <w:color w:val="auto"/>
          <w:sz w:val="22"/>
          <w:szCs w:val="22"/>
          <w:lang w:eastAsia="en-US"/>
        </w:rPr>
      </w:pPr>
      <w:r>
        <w:rPr>
          <w:rFonts w:cs="Arial" w:ascii="Arial" w:hAnsi="Arial"/>
          <w:sz w:val="22"/>
          <w:szCs w:val="22"/>
        </w:rPr>
        <w:t>3.1. Tiekėjas įsipareigoja apdrausti transporto priemones transporto priemonių valdytojų civilinės atsakomybės privalomuoju draudimu, pagal atitinkamus užsakymus, sutinkamai su sutarties reikalavimais bei su Lietuvos Respublikos transporto priemonių valdytojų civilinės atsakomybės privalomojo draudimo įstatymo reikalavimais.</w:t>
      </w:r>
    </w:p>
    <w:p>
      <w:pPr>
        <w:pStyle w:val="Normal"/>
        <w:jc w:val="both"/>
        <w:rPr>
          <w:rFonts w:ascii="Arial" w:hAnsi="Arial" w:cs="Arial"/>
          <w:sz w:val="22"/>
          <w:szCs w:val="22"/>
        </w:rPr>
      </w:pPr>
      <w:r>
        <w:rPr>
          <w:rFonts w:cs="Arial" w:ascii="Arial" w:hAnsi="Arial"/>
          <w:sz w:val="22"/>
          <w:szCs w:val="22"/>
        </w:rPr>
        <w:t xml:space="preserve">3.2. Tiekėjas, nurodo pasiūlytus TPVCA privalomojo draudimo įkainius, užpildydamas Pirkimo pasiūlymo formą </w:t>
      </w:r>
      <w:r>
        <w:rPr>
          <w:rFonts w:cs="Arial" w:ascii="Arial" w:hAnsi="Arial"/>
          <w:color w:val="FF0000"/>
          <w:sz w:val="22"/>
          <w:szCs w:val="22"/>
        </w:rPr>
        <w:t xml:space="preserve">Priedas Nr. </w:t>
      </w:r>
      <w:r>
        <w:rPr>
          <w:rFonts w:cs="Arial" w:ascii="Arial" w:hAnsi="Arial"/>
          <w:color w:val="FF0000"/>
          <w:sz w:val="22"/>
          <w:szCs w:val="22"/>
        </w:rPr>
        <w:t>3</w:t>
      </w:r>
      <w:r>
        <w:rPr>
          <w:rFonts w:cs="Arial" w:ascii="Arial" w:hAnsi="Arial"/>
          <w:color w:val="FF0000"/>
          <w:sz w:val="22"/>
          <w:szCs w:val="22"/>
        </w:rPr>
        <w:t>.</w:t>
      </w:r>
      <w:r>
        <w:rPr>
          <w:rFonts w:cs="Arial" w:ascii="Arial" w:hAnsi="Arial"/>
          <w:sz w:val="22"/>
          <w:szCs w:val="22"/>
        </w:rPr>
        <w:t xml:space="preserve"> Pasiūlymo kaina bus naudojama tik palyginti tiekėjų pasiūlymams ir nustatyti laimėjusį pirkimą.</w:t>
      </w:r>
    </w:p>
    <w:p>
      <w:pPr>
        <w:pStyle w:val="Normal"/>
        <w:jc w:val="both"/>
        <w:rPr>
          <w:rFonts w:ascii="Arial" w:hAnsi="Arial" w:cs="Arial"/>
          <w:sz w:val="22"/>
          <w:szCs w:val="22"/>
        </w:rPr>
      </w:pPr>
      <w:r>
        <w:rPr>
          <w:rFonts w:cs="Arial" w:ascii="Arial" w:hAnsi="Arial"/>
          <w:sz w:val="22"/>
          <w:szCs w:val="22"/>
        </w:rPr>
        <w:t>3.3. Tiekėjas turi pasiūlyti vieningus draudimo įkainius pagal atskiras transporto priemonių kategorijas. Pasiūlyti draudimo įkainiai atskiroms transporto priemonių kategorijoms turi galioti visą sutarties galiojimo laikotarpį. Naujai įsigytos transporto priemonės draudžiamos tomis pačiomis sąlygomis.</w:t>
      </w:r>
    </w:p>
    <w:p>
      <w:pPr>
        <w:pStyle w:val="Normal"/>
        <w:jc w:val="both"/>
        <w:rPr>
          <w:rFonts w:ascii="Arial" w:hAnsi="Arial" w:cs="Arial"/>
          <w:sz w:val="22"/>
          <w:szCs w:val="22"/>
        </w:rPr>
      </w:pPr>
      <w:r>
        <w:rPr>
          <w:rFonts w:cs="Arial" w:ascii="Arial" w:hAnsi="Arial"/>
          <w:sz w:val="22"/>
          <w:szCs w:val="22"/>
        </w:rPr>
        <w:t>3.4. Paslaugos kaina, taikoma konkrečiai transporto priemonei (toliau – Paslaugų įkainis konkrečiai transporto priemonei):</w:t>
      </w:r>
    </w:p>
    <w:p>
      <w:pPr>
        <w:pStyle w:val="Normal"/>
        <w:jc w:val="both"/>
        <w:rPr>
          <w:rFonts w:ascii="Arial" w:hAnsi="Arial" w:cs="Arial"/>
          <w:sz w:val="22"/>
          <w:szCs w:val="22"/>
        </w:rPr>
      </w:pPr>
      <w:r>
        <w:rPr>
          <w:rFonts w:cs="Arial" w:ascii="Arial" w:hAnsi="Arial"/>
          <w:sz w:val="22"/>
          <w:szCs w:val="22"/>
        </w:rPr>
        <w:t>3.4.1. tuo atveju, kai draudimo apsaugos galiojimo laikotarpis konkrečiai transporto priemonei yra 12 mėn. Paslaugų įkainis konkrečiai transporto priemonei yra lygus šiai transporto priemonei taikomai 12 mėn. draudimo įmokai;</w:t>
      </w:r>
    </w:p>
    <w:p>
      <w:pPr>
        <w:pStyle w:val="Normal"/>
        <w:jc w:val="both"/>
        <w:rPr>
          <w:rFonts w:ascii="Arial" w:hAnsi="Arial" w:cs="Arial"/>
          <w:sz w:val="22"/>
          <w:szCs w:val="22"/>
        </w:rPr>
      </w:pPr>
      <w:r>
        <w:rPr>
          <w:rFonts w:cs="Arial" w:ascii="Arial" w:hAnsi="Arial"/>
          <w:sz w:val="22"/>
          <w:szCs w:val="22"/>
        </w:rPr>
        <w:t xml:space="preserve">3.4.2. tuo atveju, kai draudimo apsaugos galiojimo laikotarpis konkrečiai transporto priemonei yra trumpesnis nei 12 mėn., Paslaugų įkainis konkrečiai transporto priemonei apskaičiuojamas proporcingai draudimo apsaugos galiojimo dienų skaičiui, atsižvelgiant į konkrečios transporto priemonių kategorijos vienai transporto priemonei taikomą 12 mėn. draudimo įmoką pagal šią formulę: 12 mėn. draudimo įmoka /365 dienos * konkrečiai transporto priemonei taikomas draudimo apsaugos galiojimo dienų skaičius). </w:t>
      </w:r>
    </w:p>
    <w:p>
      <w:pPr>
        <w:pStyle w:val="Normal"/>
        <w:jc w:val="both"/>
        <w:rPr>
          <w:rFonts w:ascii="Arial" w:hAnsi="Arial" w:cs="Arial"/>
          <w:sz w:val="22"/>
          <w:szCs w:val="22"/>
        </w:rPr>
      </w:pPr>
      <w:r>
        <w:rPr>
          <w:rFonts w:cs="Arial" w:ascii="Arial" w:hAnsi="Arial"/>
          <w:sz w:val="22"/>
          <w:szCs w:val="22"/>
        </w:rPr>
        <w:t>3.4.3 Draudimo įmokai nustatomas 30 (trisdešimt) dienų atidėjimo terminas nuo draudimo įsigaliojimo datos, pagal Paslaugų teikėjo pateiktas e. sąskaitas-faktūras (per Sąskaitų administravimo bendrąją informacinę sistemą SABIS).3.5. Visos draudimo sutartys sudaromos iki kiekvienų kalendorinių metų rugsėjo 15 d. imtinai.</w:t>
      </w:r>
    </w:p>
    <w:p>
      <w:pPr>
        <w:pStyle w:val="Normal"/>
        <w:jc w:val="both"/>
        <w:rPr>
          <w:rFonts w:ascii="Arial" w:hAnsi="Arial" w:cs="Arial"/>
          <w:sz w:val="22"/>
          <w:szCs w:val="22"/>
        </w:rPr>
      </w:pPr>
      <w:r>
        <w:rPr>
          <w:rFonts w:cs="Arial" w:ascii="Arial" w:hAnsi="Arial"/>
          <w:sz w:val="22"/>
          <w:szCs w:val="22"/>
        </w:rPr>
        <w:t>3.6. Nutraukiant/performinant draudimo sutartį, draudimo sutarties nutraukimo administravimo mokesčiai neskaičiuojami.</w:t>
      </w:r>
    </w:p>
    <w:p>
      <w:pPr>
        <w:pStyle w:val="Normal"/>
        <w:jc w:val="both"/>
        <w:rPr>
          <w:rFonts w:ascii="Arial" w:hAnsi="Arial" w:cs="Arial"/>
          <w:sz w:val="22"/>
          <w:szCs w:val="22"/>
        </w:rPr>
      </w:pPr>
      <w:r>
        <w:rPr>
          <w:rFonts w:cs="Arial" w:ascii="Arial" w:hAnsi="Arial"/>
          <w:sz w:val="22"/>
          <w:szCs w:val="22"/>
        </w:rPr>
        <w:t>3.7. Per 5 (penkias) darbo dienas nuo raštiško Draudėjo arba Brokerio  prašymo Draudikas privalo pateikti  TPVCA privalomojo draudimo sutarčių galiojimo metu ir per paskutinius 3 metus registruotų įvykių ataskaitą redaguojamos Excel bylos formatu, kurioje būtų nurodyti tokie duomenys:</w:t>
      </w:r>
    </w:p>
    <w:p>
      <w:pPr>
        <w:pStyle w:val="Normal"/>
        <w:jc w:val="both"/>
        <w:rPr>
          <w:rFonts w:ascii="Arial" w:hAnsi="Arial" w:cs="Arial"/>
          <w:sz w:val="22"/>
          <w:szCs w:val="22"/>
        </w:rPr>
      </w:pPr>
      <w:r>
        <w:rPr>
          <w:rFonts w:cs="Arial" w:ascii="Arial" w:hAnsi="Arial"/>
          <w:sz w:val="22"/>
          <w:szCs w:val="22"/>
        </w:rPr>
        <w:t>- Kiekvieno registruoto įvykio data;</w:t>
      </w:r>
    </w:p>
    <w:p>
      <w:pPr>
        <w:pStyle w:val="Normal"/>
        <w:jc w:val="both"/>
        <w:rPr>
          <w:rFonts w:ascii="Arial" w:hAnsi="Arial" w:cs="Arial"/>
          <w:sz w:val="22"/>
          <w:szCs w:val="22"/>
        </w:rPr>
      </w:pPr>
      <w:r>
        <w:rPr>
          <w:rFonts w:cs="Arial" w:ascii="Arial" w:hAnsi="Arial"/>
          <w:sz w:val="22"/>
          <w:szCs w:val="22"/>
        </w:rPr>
        <w:t>- Įvykio unikalus numeris;</w:t>
      </w:r>
    </w:p>
    <w:p>
      <w:pPr>
        <w:pStyle w:val="Normal"/>
        <w:jc w:val="both"/>
        <w:rPr>
          <w:rFonts w:ascii="Arial" w:hAnsi="Arial" w:cs="Arial"/>
          <w:sz w:val="22"/>
          <w:szCs w:val="22"/>
        </w:rPr>
      </w:pPr>
      <w:r>
        <w:rPr>
          <w:rFonts w:cs="Arial" w:ascii="Arial" w:hAnsi="Arial"/>
          <w:sz w:val="22"/>
          <w:szCs w:val="22"/>
        </w:rPr>
        <w:t>-Transporto priemonės markė, modelis, valstybinis registracijos numeris (arba serijos numeris, jei transporto priemonė neregistruota įvykio metu);</w:t>
      </w:r>
    </w:p>
    <w:p>
      <w:pPr>
        <w:pStyle w:val="Normal"/>
        <w:jc w:val="both"/>
        <w:rPr>
          <w:rFonts w:ascii="Arial" w:hAnsi="Arial" w:cs="Arial"/>
          <w:sz w:val="22"/>
          <w:szCs w:val="22"/>
        </w:rPr>
      </w:pPr>
      <w:bookmarkStart w:id="0" w:name="_Hlk103061662"/>
      <w:r>
        <w:rPr>
          <w:rFonts w:cs="Arial" w:ascii="Arial" w:hAnsi="Arial"/>
          <w:sz w:val="22"/>
          <w:szCs w:val="22"/>
        </w:rPr>
        <w:t>- Rezervuotų ir išmokėtų draudimo išmokų sumos;</w:t>
      </w:r>
      <w:bookmarkEnd w:id="0"/>
    </w:p>
    <w:p>
      <w:pPr>
        <w:pStyle w:val="Normal"/>
        <w:jc w:val="both"/>
        <w:rPr>
          <w:rFonts w:ascii="Arial" w:hAnsi="Arial" w:cs="Arial"/>
          <w:sz w:val="22"/>
          <w:szCs w:val="22"/>
        </w:rPr>
      </w:pPr>
      <w:r>
        <w:rPr>
          <w:rFonts w:cs="Arial" w:ascii="Arial" w:hAnsi="Arial"/>
          <w:sz w:val="22"/>
          <w:szCs w:val="22"/>
        </w:rPr>
        <w:t>- Subrogacijos tvarka atgautinos sumos;</w:t>
      </w:r>
    </w:p>
    <w:p>
      <w:pPr>
        <w:pStyle w:val="Normal"/>
        <w:jc w:val="both"/>
        <w:rPr>
          <w:rFonts w:ascii="Arial" w:hAnsi="Arial" w:cs="Arial"/>
          <w:sz w:val="22"/>
          <w:szCs w:val="22"/>
        </w:rPr>
      </w:pPr>
      <w:bookmarkStart w:id="1" w:name="_Hlk94792732"/>
      <w:r>
        <w:rPr>
          <w:rFonts w:cs="Arial" w:ascii="Arial" w:hAnsi="Arial"/>
          <w:sz w:val="22"/>
          <w:szCs w:val="22"/>
        </w:rPr>
        <w:t>- Įvykio statusas (reguliuojama, sureguliuota, atmesta, atsisakyta) ir jo suteikimo data</w:t>
      </w:r>
      <w:bookmarkEnd w:id="1"/>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bCs/>
          <w:sz w:val="22"/>
          <w:szCs w:val="22"/>
        </w:rPr>
      </w:pPr>
      <w:r>
        <w:rPr>
          <w:rFonts w:cs="Arial" w:ascii="Arial" w:hAnsi="Arial"/>
          <w:b/>
          <w:bCs/>
          <w:sz w:val="22"/>
          <w:szCs w:val="22"/>
        </w:rPr>
        <w:t>4. PAPILDOMA INFORMACIJA</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4.1. Rizikos vertinimo, draudimo sutarčių ir polisų sudarymo, tarpininkavimo, žalos istorijos ir kitais draudimo klausimais, perkančiąją organizaciją konsultuoja UADBB „Aon Baltic“ (toliau – Brokeris) pagal 2024 m. lapkričio 6 d. paslaugų viešojo pirkimo - pardavimo sutartį Nr. 77-VP-7887-2024.</w:t>
      </w:r>
    </w:p>
    <w:p>
      <w:pPr>
        <w:pStyle w:val="Normal"/>
        <w:jc w:val="both"/>
        <w:rPr>
          <w:rFonts w:ascii="Arial" w:hAnsi="Arial" w:cs="Arial"/>
          <w:sz w:val="22"/>
          <w:szCs w:val="22"/>
        </w:rPr>
      </w:pPr>
      <w:r>
        <w:rPr>
          <w:rFonts w:cs="Arial" w:ascii="Arial" w:hAnsi="Arial"/>
          <w:sz w:val="22"/>
          <w:szCs w:val="22"/>
        </w:rPr>
        <w:t>4.2. Informacija apie numatomą naujų transporto priemonių įsigijimą 2026 - 2027 metais (bus registruojamos 2026 m. pabaigoje arba 2027 m. pradžioje):</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975"/>
        <w:gridCol w:w="3262"/>
        <w:gridCol w:w="3261"/>
      </w:tblGrid>
      <w:tr>
        <w:trPr>
          <w:trHeight w:val="316" w:hRule="atLeast"/>
        </w:trPr>
        <w:tc>
          <w:tcPr>
            <w:tcW w:w="2975"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b/>
                <w:bCs/>
                <w:sz w:val="22"/>
                <w:szCs w:val="22"/>
              </w:rPr>
            </w:pPr>
            <w:r>
              <w:rPr>
                <w:rFonts w:cs="Arial" w:ascii="Arial" w:hAnsi="Arial"/>
                <w:b/>
                <w:bCs/>
                <w:sz w:val="22"/>
                <w:szCs w:val="22"/>
              </w:rPr>
              <w:t>Tipas (kategorija)</w:t>
            </w:r>
          </w:p>
        </w:tc>
        <w:tc>
          <w:tcPr>
            <w:tcW w:w="326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b/>
                <w:bCs/>
                <w:sz w:val="22"/>
                <w:szCs w:val="22"/>
              </w:rPr>
            </w:pPr>
            <w:r>
              <w:rPr>
                <w:rFonts w:cs="Arial" w:ascii="Arial" w:hAnsi="Arial"/>
                <w:b/>
                <w:bCs/>
                <w:sz w:val="22"/>
                <w:szCs w:val="22"/>
              </w:rPr>
              <w:t>Planuojamas preliminarus kiekis, vnt.</w:t>
            </w:r>
          </w:p>
        </w:tc>
        <w:tc>
          <w:tcPr>
            <w:tcW w:w="3261"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b/>
                <w:bCs/>
                <w:sz w:val="22"/>
                <w:szCs w:val="22"/>
              </w:rPr>
            </w:pPr>
            <w:r>
              <w:rPr>
                <w:rFonts w:cs="Arial" w:ascii="Arial" w:hAnsi="Arial"/>
                <w:b/>
                <w:bCs/>
                <w:sz w:val="22"/>
                <w:szCs w:val="22"/>
              </w:rPr>
              <w:t>Komentaras</w:t>
            </w:r>
          </w:p>
        </w:tc>
      </w:tr>
      <w:tr>
        <w:trPr>
          <w:trHeight w:val="300" w:hRule="atLeast"/>
        </w:trPr>
        <w:tc>
          <w:tcPr>
            <w:tcW w:w="2975"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cs="Arial"/>
                <w:sz w:val="22"/>
                <w:szCs w:val="22"/>
              </w:rPr>
            </w:pPr>
            <w:r>
              <w:rPr>
                <w:rFonts w:cs="Arial" w:ascii="Arial" w:hAnsi="Arial"/>
                <w:sz w:val="22"/>
                <w:szCs w:val="22"/>
              </w:rPr>
              <w:t>M1</w:t>
            </w:r>
          </w:p>
        </w:tc>
        <w:tc>
          <w:tcPr>
            <w:tcW w:w="326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sz w:val="22"/>
                <w:szCs w:val="22"/>
              </w:rPr>
            </w:pPr>
            <w:r>
              <w:rPr>
                <w:rFonts w:cs="Arial" w:ascii="Arial" w:hAnsi="Arial"/>
                <w:sz w:val="22"/>
                <w:szCs w:val="22"/>
              </w:rPr>
              <w:t>130</w:t>
            </w:r>
          </w:p>
        </w:tc>
        <w:tc>
          <w:tcPr>
            <w:tcW w:w="3261" w:type="dxa"/>
            <w:tcBorders>
              <w:top w:val="single" w:sz="4" w:space="0" w:color="000000"/>
              <w:left w:val="single" w:sz="4" w:space="0" w:color="000000"/>
              <w:bottom w:val="single" w:sz="4" w:space="0" w:color="000000"/>
              <w:right w:val="single" w:sz="4" w:space="0" w:color="000000"/>
            </w:tcBorders>
            <w:vAlign w:val="center"/>
          </w:tcPr>
          <w:p>
            <w:pPr>
              <w:pStyle w:val="ListParagraph"/>
              <w:snapToGrid w:val="false"/>
              <w:ind w:left="360"/>
              <w:rPr>
                <w:rFonts w:ascii="Arial" w:hAnsi="Arial" w:cs="Arial"/>
                <w:sz w:val="22"/>
                <w:szCs w:val="22"/>
              </w:rPr>
            </w:pPr>
            <w:r>
              <w:rPr>
                <w:rFonts w:cs="Arial" w:ascii="Arial" w:hAnsi="Arial"/>
                <w:sz w:val="22"/>
                <w:szCs w:val="22"/>
              </w:rPr>
            </w:r>
          </w:p>
        </w:tc>
      </w:tr>
      <w:tr>
        <w:trPr>
          <w:trHeight w:val="300" w:hRule="atLeast"/>
        </w:trPr>
        <w:tc>
          <w:tcPr>
            <w:tcW w:w="2975"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cs="Arial"/>
                <w:sz w:val="22"/>
                <w:szCs w:val="22"/>
              </w:rPr>
            </w:pPr>
            <w:r>
              <w:rPr>
                <w:rFonts w:cs="Arial" w:ascii="Arial" w:hAnsi="Arial"/>
                <w:sz w:val="22"/>
                <w:szCs w:val="22"/>
              </w:rPr>
              <w:t>N1</w:t>
            </w:r>
          </w:p>
        </w:tc>
        <w:tc>
          <w:tcPr>
            <w:tcW w:w="326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sz w:val="22"/>
                <w:szCs w:val="22"/>
              </w:rPr>
            </w:pPr>
            <w:r>
              <w:rPr>
                <w:rFonts w:cs="Arial" w:ascii="Arial" w:hAnsi="Arial"/>
                <w:sz w:val="22"/>
                <w:szCs w:val="22"/>
              </w:rPr>
              <w:t>40</w:t>
            </w:r>
          </w:p>
        </w:tc>
        <w:tc>
          <w:tcPr>
            <w:tcW w:w="3261" w:type="dxa"/>
            <w:tcBorders>
              <w:top w:val="single" w:sz="4" w:space="0" w:color="000000"/>
              <w:left w:val="single" w:sz="4" w:space="0" w:color="000000"/>
              <w:bottom w:val="single" w:sz="4" w:space="0" w:color="000000"/>
              <w:right w:val="single" w:sz="4" w:space="0" w:color="000000"/>
            </w:tcBorders>
            <w:vAlign w:val="center"/>
          </w:tcPr>
          <w:p>
            <w:pPr>
              <w:pStyle w:val="ListParagraph"/>
              <w:snapToGrid w:val="false"/>
              <w:ind w:left="360"/>
              <w:rPr>
                <w:rFonts w:ascii="Arial" w:hAnsi="Arial" w:cs="Arial"/>
                <w:sz w:val="22"/>
                <w:szCs w:val="22"/>
              </w:rPr>
            </w:pPr>
            <w:r>
              <w:rPr>
                <w:rFonts w:cs="Arial" w:ascii="Arial" w:hAnsi="Arial"/>
                <w:sz w:val="22"/>
                <w:szCs w:val="22"/>
              </w:rPr>
            </w:r>
          </w:p>
        </w:tc>
      </w:tr>
      <w:tr>
        <w:trPr>
          <w:trHeight w:val="300" w:hRule="atLeast"/>
        </w:trPr>
        <w:tc>
          <w:tcPr>
            <w:tcW w:w="2975"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cs="Arial"/>
                <w:sz w:val="22"/>
                <w:szCs w:val="22"/>
              </w:rPr>
            </w:pPr>
            <w:r>
              <w:rPr>
                <w:rFonts w:cs="Arial" w:ascii="Arial" w:hAnsi="Arial"/>
                <w:sz w:val="22"/>
                <w:szCs w:val="22"/>
              </w:rPr>
              <w:t>N3</w:t>
            </w:r>
          </w:p>
        </w:tc>
        <w:tc>
          <w:tcPr>
            <w:tcW w:w="326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sz w:val="22"/>
                <w:szCs w:val="22"/>
              </w:rPr>
            </w:pPr>
            <w:r>
              <w:rPr>
                <w:rFonts w:cs="Arial" w:ascii="Arial" w:hAnsi="Arial"/>
                <w:sz w:val="22"/>
                <w:szCs w:val="22"/>
              </w:rPr>
              <w:t>10</w:t>
            </w:r>
          </w:p>
        </w:tc>
        <w:tc>
          <w:tcPr>
            <w:tcW w:w="3261" w:type="dxa"/>
            <w:tcBorders>
              <w:top w:val="single" w:sz="4" w:space="0" w:color="000000"/>
              <w:left w:val="single" w:sz="4" w:space="0" w:color="000000"/>
              <w:bottom w:val="single" w:sz="4" w:space="0" w:color="000000"/>
              <w:right w:val="single" w:sz="4" w:space="0" w:color="000000"/>
            </w:tcBorders>
            <w:vAlign w:val="center"/>
          </w:tcPr>
          <w:p>
            <w:pPr>
              <w:pStyle w:val="ListParagraph"/>
              <w:snapToGrid w:val="false"/>
              <w:ind w:left="360"/>
              <w:rPr>
                <w:rFonts w:ascii="Arial" w:hAnsi="Arial" w:cs="Arial"/>
                <w:sz w:val="22"/>
                <w:szCs w:val="22"/>
              </w:rPr>
            </w:pPr>
            <w:r>
              <w:rPr>
                <w:rFonts w:cs="Arial" w:ascii="Arial" w:hAnsi="Arial"/>
                <w:sz w:val="22"/>
                <w:szCs w:val="22"/>
              </w:rPr>
            </w:r>
          </w:p>
        </w:tc>
      </w:tr>
      <w:tr>
        <w:trPr>
          <w:trHeight w:val="300" w:hRule="atLeast"/>
        </w:trPr>
        <w:tc>
          <w:tcPr>
            <w:tcW w:w="2975"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cs="Arial"/>
                <w:sz w:val="22"/>
                <w:szCs w:val="22"/>
              </w:rPr>
            </w:pPr>
            <w:r>
              <w:rPr>
                <w:rFonts w:cs="Arial" w:ascii="Arial" w:hAnsi="Arial"/>
                <w:sz w:val="22"/>
                <w:szCs w:val="22"/>
              </w:rPr>
              <w:t>O4</w:t>
            </w:r>
          </w:p>
        </w:tc>
        <w:tc>
          <w:tcPr>
            <w:tcW w:w="326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sz w:val="22"/>
                <w:szCs w:val="22"/>
                <w:lang w:val="en-US"/>
              </w:rPr>
            </w:pPr>
            <w:r>
              <w:rPr>
                <w:rFonts w:cs="Arial" w:ascii="Arial" w:hAnsi="Arial"/>
                <w:sz w:val="22"/>
                <w:szCs w:val="22"/>
              </w:rPr>
              <w:t>10</w:t>
            </w:r>
          </w:p>
        </w:tc>
        <w:tc>
          <w:tcPr>
            <w:tcW w:w="3261" w:type="dxa"/>
            <w:tcBorders>
              <w:top w:val="single" w:sz="4" w:space="0" w:color="000000"/>
              <w:left w:val="single" w:sz="4" w:space="0" w:color="000000"/>
              <w:bottom w:val="single" w:sz="4" w:space="0" w:color="000000"/>
              <w:right w:val="single" w:sz="4" w:space="0" w:color="000000"/>
            </w:tcBorders>
            <w:vAlign w:val="center"/>
          </w:tcPr>
          <w:p>
            <w:pPr>
              <w:pStyle w:val="ListParagraph"/>
              <w:snapToGrid w:val="false"/>
              <w:ind w:left="360"/>
              <w:rPr>
                <w:rFonts w:ascii="Arial" w:hAnsi="Arial" w:cs="Arial"/>
                <w:sz w:val="22"/>
                <w:szCs w:val="22"/>
              </w:rPr>
            </w:pPr>
            <w:r>
              <w:rPr>
                <w:rFonts w:cs="Arial" w:ascii="Arial" w:hAnsi="Arial"/>
                <w:sz w:val="22"/>
                <w:szCs w:val="22"/>
              </w:rPr>
            </w:r>
          </w:p>
        </w:tc>
      </w:tr>
      <w:tr>
        <w:trPr>
          <w:trHeight w:val="300" w:hRule="atLeast"/>
        </w:trPr>
        <w:tc>
          <w:tcPr>
            <w:tcW w:w="2975"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cs="Arial"/>
                <w:sz w:val="22"/>
                <w:szCs w:val="22"/>
              </w:rPr>
            </w:pPr>
            <w:r>
              <w:rPr>
                <w:rFonts w:cs="Arial" w:ascii="Arial" w:hAnsi="Arial"/>
                <w:sz w:val="22"/>
                <w:szCs w:val="22"/>
              </w:rPr>
              <w:t>Mobili technika</w:t>
            </w:r>
          </w:p>
        </w:tc>
        <w:tc>
          <w:tcPr>
            <w:tcW w:w="326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Arial" w:hAnsi="Arial" w:cs="Arial"/>
                <w:sz w:val="22"/>
                <w:szCs w:val="22"/>
              </w:rPr>
            </w:pPr>
            <w:r>
              <w:rPr>
                <w:rFonts w:cs="Arial" w:ascii="Arial" w:hAnsi="Arial"/>
                <w:sz w:val="22"/>
                <w:szCs w:val="22"/>
              </w:rPr>
              <w:t>20</w:t>
            </w:r>
          </w:p>
        </w:tc>
        <w:tc>
          <w:tcPr>
            <w:tcW w:w="3261" w:type="dxa"/>
            <w:tcBorders>
              <w:top w:val="single" w:sz="4" w:space="0" w:color="000000"/>
              <w:left w:val="single" w:sz="4" w:space="0" w:color="000000"/>
              <w:bottom w:val="single" w:sz="4" w:space="0" w:color="000000"/>
              <w:right w:val="single" w:sz="4" w:space="0" w:color="000000"/>
            </w:tcBorders>
            <w:vAlign w:val="center"/>
          </w:tcPr>
          <w:p>
            <w:pPr>
              <w:pStyle w:val="ListParagraph"/>
              <w:snapToGrid w:val="false"/>
              <w:ind w:left="360"/>
              <w:rPr>
                <w:rFonts w:ascii="Arial" w:hAnsi="Arial" w:cs="Arial"/>
                <w:sz w:val="22"/>
                <w:szCs w:val="22"/>
              </w:rPr>
            </w:pPr>
            <w:r>
              <w:rPr>
                <w:rFonts w:cs="Arial" w:ascii="Arial" w:hAnsi="Arial"/>
                <w:sz w:val="22"/>
                <w:szCs w:val="22"/>
              </w:rPr>
            </w:r>
          </w:p>
        </w:tc>
      </w:tr>
    </w:tbl>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4.3. Informacija apie nuostolingumą:</w:t>
      </w:r>
    </w:p>
    <w:tbl>
      <w:tblPr>
        <w:tblStyle w:val="Lentelstinklelis"/>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550"/>
        <w:gridCol w:w="2556"/>
        <w:gridCol w:w="1842"/>
        <w:gridCol w:w="1843"/>
        <w:gridCol w:w="1843"/>
      </w:tblGrid>
      <w:tr>
        <w:trPr>
          <w:trHeight w:val="378" w:hRule="atLeast"/>
        </w:trPr>
        <w:tc>
          <w:tcPr>
            <w:tcW w:w="1550" w:type="dxa"/>
            <w:tcBorders/>
            <w:vAlign w:val="center"/>
          </w:tcPr>
          <w:p>
            <w:pPr>
              <w:pStyle w:val="Normal"/>
              <w:widowControl/>
              <w:suppressAutoHyphens w:val="true"/>
              <w:snapToGrid w:val="false"/>
              <w:spacing w:before="0" w:after="0"/>
              <w:jc w:val="center"/>
              <w:rPr>
                <w:rFonts w:ascii="Arial" w:hAnsi="Arial" w:cs="Arial"/>
                <w:b/>
              </w:rPr>
            </w:pPr>
            <w:r>
              <w:rPr>
                <w:rFonts w:cs="Arial" w:ascii="Arial" w:hAnsi="Arial"/>
                <w:b/>
                <w:kern w:val="0"/>
                <w:lang w:val="lt-LT" w:bidi="ar-SA"/>
              </w:rPr>
              <w:t>Draudimo objektas</w:t>
            </w:r>
          </w:p>
        </w:tc>
        <w:tc>
          <w:tcPr>
            <w:tcW w:w="2556" w:type="dxa"/>
            <w:tcBorders/>
            <w:vAlign w:val="center"/>
          </w:tcPr>
          <w:p>
            <w:pPr>
              <w:pStyle w:val="Normal"/>
              <w:widowControl/>
              <w:suppressAutoHyphens w:val="true"/>
              <w:snapToGrid w:val="false"/>
              <w:spacing w:before="0" w:after="0"/>
              <w:jc w:val="center"/>
              <w:rPr>
                <w:rFonts w:ascii="Arial" w:hAnsi="Arial" w:cs="Arial"/>
                <w:b/>
              </w:rPr>
            </w:pPr>
            <w:r>
              <w:rPr>
                <w:rFonts w:cs="Arial" w:ascii="Arial" w:hAnsi="Arial"/>
                <w:b/>
                <w:kern w:val="0"/>
                <w:lang w:val="lt-LT" w:bidi="ar-SA"/>
              </w:rPr>
              <w:t>Draudimo laikotarpis</w:t>
            </w:r>
          </w:p>
        </w:tc>
        <w:tc>
          <w:tcPr>
            <w:tcW w:w="1842" w:type="dxa"/>
            <w:tcBorders/>
            <w:vAlign w:val="center"/>
          </w:tcPr>
          <w:p>
            <w:pPr>
              <w:pStyle w:val="Normal"/>
              <w:widowControl/>
              <w:suppressAutoHyphens w:val="true"/>
              <w:snapToGrid w:val="false"/>
              <w:spacing w:before="0" w:after="0"/>
              <w:jc w:val="center"/>
              <w:rPr>
                <w:rFonts w:ascii="Arial" w:hAnsi="Arial" w:cs="Arial"/>
                <w:b/>
                <w:sz w:val="22"/>
                <w:szCs w:val="22"/>
              </w:rPr>
            </w:pPr>
            <w:r>
              <w:rPr>
                <w:rFonts w:cs="Arial" w:ascii="Arial" w:hAnsi="Arial"/>
                <w:b/>
                <w:kern w:val="0"/>
                <w:sz w:val="22"/>
                <w:szCs w:val="22"/>
                <w:lang w:val="lt-LT" w:bidi="ar-SA"/>
              </w:rPr>
              <w:t>2023.09.16 – 2024.09.15</w:t>
            </w:r>
          </w:p>
        </w:tc>
        <w:tc>
          <w:tcPr>
            <w:tcW w:w="1843" w:type="dxa"/>
            <w:tcBorders/>
            <w:vAlign w:val="center"/>
          </w:tcPr>
          <w:p>
            <w:pPr>
              <w:pStyle w:val="Normal"/>
              <w:widowControl/>
              <w:suppressAutoHyphens w:val="true"/>
              <w:snapToGrid w:val="false"/>
              <w:spacing w:before="0" w:after="0"/>
              <w:jc w:val="center"/>
              <w:rPr>
                <w:rFonts w:ascii="Arial" w:hAnsi="Arial" w:cs="Arial"/>
                <w:b/>
                <w:sz w:val="22"/>
                <w:szCs w:val="22"/>
              </w:rPr>
            </w:pPr>
            <w:r>
              <w:rPr>
                <w:rFonts w:cs="Arial" w:ascii="Arial" w:hAnsi="Arial"/>
                <w:b/>
                <w:kern w:val="0"/>
                <w:sz w:val="22"/>
                <w:szCs w:val="22"/>
                <w:lang w:val="lt-LT" w:bidi="ar-SA"/>
              </w:rPr>
              <w:t>2024.09.16 – 2025.09.15</w:t>
            </w:r>
          </w:p>
        </w:tc>
        <w:tc>
          <w:tcPr>
            <w:tcW w:w="1843" w:type="dxa"/>
            <w:tcBorders/>
            <w:vAlign w:val="center"/>
          </w:tcPr>
          <w:p>
            <w:pPr>
              <w:pStyle w:val="Normal"/>
              <w:widowControl/>
              <w:suppressAutoHyphens w:val="true"/>
              <w:snapToGrid w:val="false"/>
              <w:spacing w:before="0" w:after="0"/>
              <w:jc w:val="center"/>
              <w:rPr>
                <w:rFonts w:ascii="Arial" w:hAnsi="Arial" w:cs="Arial"/>
                <w:b/>
                <w:sz w:val="22"/>
                <w:szCs w:val="22"/>
              </w:rPr>
            </w:pPr>
            <w:r>
              <w:rPr>
                <w:rFonts w:cs="Arial" w:ascii="Arial" w:hAnsi="Arial"/>
                <w:b/>
                <w:kern w:val="0"/>
                <w:sz w:val="22"/>
                <w:szCs w:val="22"/>
                <w:lang w:val="lt-LT" w:bidi="ar-SA"/>
              </w:rPr>
              <w:t>2025.09.16 – 2026.05.20</w:t>
            </w:r>
          </w:p>
        </w:tc>
      </w:tr>
      <w:tr>
        <w:trPr>
          <w:trHeight w:val="362" w:hRule="atLeast"/>
        </w:trPr>
        <w:tc>
          <w:tcPr>
            <w:tcW w:w="1550" w:type="dxa"/>
            <w:vMerge w:val="restart"/>
            <w:tcBorders/>
            <w:vAlign w:val="center"/>
          </w:tcPr>
          <w:p>
            <w:pPr>
              <w:pStyle w:val="Normal"/>
              <w:widowControl/>
              <w:suppressAutoHyphens w:val="true"/>
              <w:snapToGrid w:val="false"/>
              <w:spacing w:before="0" w:after="0"/>
              <w:jc w:val="left"/>
              <w:rPr>
                <w:rFonts w:ascii="Arial" w:hAnsi="Arial" w:cs="Arial"/>
              </w:rPr>
            </w:pPr>
            <w:r>
              <w:rPr>
                <w:rFonts w:cs="Arial" w:ascii="Arial" w:hAnsi="Arial"/>
                <w:kern w:val="0"/>
                <w:lang w:val="lt-LT" w:bidi="ar-SA"/>
              </w:rPr>
              <w:t>TPVCA privalomasis draudimas</w:t>
            </w:r>
          </w:p>
        </w:tc>
        <w:tc>
          <w:tcPr>
            <w:tcW w:w="2556" w:type="dxa"/>
            <w:tcBorders/>
            <w:vAlign w:val="center"/>
          </w:tcPr>
          <w:p>
            <w:pPr>
              <w:pStyle w:val="Normal"/>
              <w:widowControl/>
              <w:suppressAutoHyphens w:val="true"/>
              <w:snapToGrid w:val="false"/>
              <w:spacing w:before="0" w:after="0"/>
              <w:jc w:val="left"/>
              <w:rPr>
                <w:rFonts w:ascii="Arial" w:hAnsi="Arial" w:cs="Arial"/>
              </w:rPr>
            </w:pPr>
            <w:r>
              <w:rPr>
                <w:rFonts w:cs="Arial" w:ascii="Arial" w:hAnsi="Arial"/>
                <w:kern w:val="0"/>
                <w:lang w:val="lt-LT" w:bidi="ar-SA"/>
              </w:rPr>
              <w:t>Išmokėta + rezervas - regresas</w:t>
            </w:r>
          </w:p>
        </w:tc>
        <w:tc>
          <w:tcPr>
            <w:tcW w:w="1842" w:type="dxa"/>
            <w:tcBorders/>
            <w:vAlign w:val="center"/>
          </w:tcPr>
          <w:p>
            <w:pPr>
              <w:pStyle w:val="Normal"/>
              <w:widowControl/>
              <w:suppressAutoHyphens w:val="true"/>
              <w:snapToGrid w:val="false"/>
              <w:spacing w:before="0" w:after="0"/>
              <w:jc w:val="center"/>
              <w:rPr>
                <w:rFonts w:ascii="Arial" w:hAnsi="Arial" w:cs="Arial"/>
              </w:rPr>
            </w:pPr>
            <w:r>
              <w:rPr>
                <w:rFonts w:cs="Arial" w:ascii="Arial" w:hAnsi="Arial"/>
                <w:kern w:val="0"/>
                <w:lang w:val="lt-LT" w:bidi="ar-SA"/>
              </w:rPr>
              <w:t>24.802 €</w:t>
            </w:r>
          </w:p>
        </w:tc>
        <w:tc>
          <w:tcPr>
            <w:tcW w:w="1843" w:type="dxa"/>
            <w:tcBorders/>
            <w:vAlign w:val="center"/>
          </w:tcPr>
          <w:p>
            <w:pPr>
              <w:pStyle w:val="Normal"/>
              <w:widowControl/>
              <w:suppressAutoHyphens w:val="true"/>
              <w:snapToGrid w:val="false"/>
              <w:spacing w:before="0" w:after="0"/>
              <w:jc w:val="center"/>
              <w:rPr>
                <w:rFonts w:ascii="Arial" w:hAnsi="Arial" w:cs="Arial"/>
              </w:rPr>
            </w:pPr>
            <w:r>
              <w:rPr>
                <w:rFonts w:cs="Arial" w:ascii="Arial" w:hAnsi="Arial"/>
                <w:kern w:val="0"/>
                <w:lang w:val="lt-LT" w:bidi="ar-SA"/>
              </w:rPr>
              <w:t>34.169 €</w:t>
            </w:r>
          </w:p>
        </w:tc>
        <w:tc>
          <w:tcPr>
            <w:tcW w:w="1843" w:type="dxa"/>
            <w:tcBorders/>
            <w:vAlign w:val="center"/>
          </w:tcPr>
          <w:p>
            <w:pPr>
              <w:pStyle w:val="Normal"/>
              <w:widowControl/>
              <w:suppressAutoHyphens w:val="true"/>
              <w:snapToGrid w:val="false"/>
              <w:spacing w:before="0" w:after="0"/>
              <w:jc w:val="center"/>
              <w:rPr>
                <w:rFonts w:ascii="Arial" w:hAnsi="Arial" w:cs="Arial"/>
              </w:rPr>
            </w:pPr>
            <w:r>
              <w:rPr>
                <w:rFonts w:cs="Arial" w:ascii="Arial" w:hAnsi="Arial"/>
                <w:kern w:val="0"/>
                <w:lang w:val="lt-LT" w:bidi="ar-SA"/>
              </w:rPr>
              <w:t>27.822 €</w:t>
            </w:r>
          </w:p>
        </w:tc>
      </w:tr>
      <w:tr>
        <w:trPr>
          <w:trHeight w:val="362" w:hRule="atLeast"/>
        </w:trPr>
        <w:tc>
          <w:tcPr>
            <w:tcW w:w="1550" w:type="dxa"/>
            <w:vMerge w:val="continue"/>
            <w:tcBorders/>
            <w:vAlign w:val="center"/>
          </w:tcPr>
          <w:p>
            <w:pPr>
              <w:pStyle w:val="Normal"/>
              <w:widowControl/>
              <w:suppressAutoHyphens w:val="true"/>
              <w:snapToGrid w:val="false"/>
              <w:spacing w:before="0" w:after="0"/>
              <w:jc w:val="left"/>
              <w:rPr>
                <w:rFonts w:ascii="Arial" w:hAnsi="Arial" w:cs="Arial"/>
              </w:rPr>
            </w:pPr>
            <w:r>
              <w:rPr>
                <w:rFonts w:cs="Arial" w:ascii="Arial" w:hAnsi="Arial"/>
                <w:kern w:val="0"/>
                <w:lang w:val="lt-LT" w:bidi="ar-SA"/>
              </w:rPr>
            </w:r>
          </w:p>
        </w:tc>
        <w:tc>
          <w:tcPr>
            <w:tcW w:w="2556" w:type="dxa"/>
            <w:tcBorders/>
            <w:vAlign w:val="center"/>
          </w:tcPr>
          <w:p>
            <w:pPr>
              <w:pStyle w:val="Normal"/>
              <w:widowControl/>
              <w:suppressAutoHyphens w:val="true"/>
              <w:snapToGrid w:val="false"/>
              <w:spacing w:before="0" w:after="0"/>
              <w:jc w:val="left"/>
              <w:rPr>
                <w:rFonts w:ascii="Arial" w:hAnsi="Arial" w:cs="Arial"/>
              </w:rPr>
            </w:pPr>
            <w:r>
              <w:rPr>
                <w:rFonts w:cs="Arial" w:ascii="Arial" w:hAnsi="Arial"/>
                <w:kern w:val="0"/>
                <w:lang w:val="lt-LT" w:bidi="ar-SA"/>
              </w:rPr>
              <w:t>Įvykių skaičius</w:t>
            </w:r>
          </w:p>
        </w:tc>
        <w:tc>
          <w:tcPr>
            <w:tcW w:w="1842" w:type="dxa"/>
            <w:tcBorders/>
            <w:vAlign w:val="center"/>
          </w:tcPr>
          <w:p>
            <w:pPr>
              <w:pStyle w:val="Normal"/>
              <w:widowControl/>
              <w:suppressAutoHyphens w:val="true"/>
              <w:snapToGrid w:val="false"/>
              <w:spacing w:before="0" w:after="0"/>
              <w:jc w:val="center"/>
              <w:rPr>
                <w:rFonts w:ascii="Arial" w:hAnsi="Arial" w:cs="Arial"/>
              </w:rPr>
            </w:pPr>
            <w:r>
              <w:rPr>
                <w:rFonts w:cs="Arial" w:ascii="Arial" w:hAnsi="Arial"/>
                <w:kern w:val="0"/>
                <w:lang w:val="lt-LT" w:bidi="ar-SA"/>
              </w:rPr>
              <w:t>12</w:t>
            </w:r>
          </w:p>
        </w:tc>
        <w:tc>
          <w:tcPr>
            <w:tcW w:w="1843" w:type="dxa"/>
            <w:tcBorders/>
            <w:vAlign w:val="center"/>
          </w:tcPr>
          <w:p>
            <w:pPr>
              <w:pStyle w:val="Normal"/>
              <w:widowControl/>
              <w:suppressAutoHyphens w:val="true"/>
              <w:snapToGrid w:val="false"/>
              <w:spacing w:before="0" w:after="0"/>
              <w:jc w:val="center"/>
              <w:rPr>
                <w:rFonts w:ascii="Arial" w:hAnsi="Arial" w:cs="Arial"/>
              </w:rPr>
            </w:pPr>
            <w:r>
              <w:rPr>
                <w:rFonts w:cs="Arial" w:ascii="Arial" w:hAnsi="Arial"/>
                <w:kern w:val="0"/>
                <w:lang w:val="lt-LT" w:bidi="ar-SA"/>
              </w:rPr>
              <w:t>20</w:t>
            </w:r>
          </w:p>
        </w:tc>
        <w:tc>
          <w:tcPr>
            <w:tcW w:w="1843" w:type="dxa"/>
            <w:tcBorders/>
            <w:vAlign w:val="center"/>
          </w:tcPr>
          <w:p>
            <w:pPr>
              <w:pStyle w:val="Normal"/>
              <w:widowControl/>
              <w:suppressAutoHyphens w:val="true"/>
              <w:snapToGrid w:val="false"/>
              <w:spacing w:before="0" w:after="0"/>
              <w:jc w:val="center"/>
              <w:rPr>
                <w:rFonts w:ascii="Arial" w:hAnsi="Arial" w:cs="Arial"/>
              </w:rPr>
            </w:pPr>
            <w:r>
              <w:rPr>
                <w:rFonts w:cs="Arial" w:ascii="Arial" w:hAnsi="Arial"/>
                <w:kern w:val="0"/>
                <w:lang w:val="lt-LT" w:bidi="ar-SA"/>
              </w:rPr>
              <w:t>18</w:t>
            </w:r>
          </w:p>
        </w:tc>
      </w:tr>
    </w:tbl>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4.4. Perkančioji organizacija patvirtina ir garantuoja, kad tiekėjui bus suteikta visa informacija reikalinga paslaugoms teikti.4.5. Perkamoms paslaugoms taikomi aplinkos apsaugos kriterijai nustatyti Lietuvos Respublikos aplinkos ministro 2011 m. birželio 28 d. įsakymo Nr. D1-508 „Dėl Aplinkos apsaugos kriterijų taikymo, vykdant žaliuosius pirkimus, tvarkos aprašo patvirtinimo“ 4.4.3 punkte (perkama tik nematerialaus pobūdžio (intelektinė) ar kitokia paslauga, nesusijusi su materialaus objekto sukūrimu, kurios teikimo metu nėra numatomas reikšmingas neigiamas poveikis aplinkai, nesukuriamas taršos šaltinis ir negeneruojamos atliekos).</w:t>
      </w:r>
    </w:p>
    <w:p>
      <w:pPr>
        <w:pStyle w:val="Normal"/>
        <w:jc w:val="both"/>
        <w:rPr>
          <w:rFonts w:ascii="Arial" w:hAnsi="Arial" w:cs="Arial"/>
          <w:sz w:val="22"/>
          <w:szCs w:val="22"/>
        </w:rPr>
      </w:pPr>
      <w:r>
        <w:rPr>
          <w:rFonts w:cs="Arial" w:ascii="Arial" w:hAnsi="Arial"/>
          <w:sz w:val="22"/>
          <w:szCs w:val="22"/>
        </w:rPr>
        <w:t>4.6. Visos Sąskaitos teikiamos tik elektroniniu būdu. Išankstines (avansines) sąskaitas faktūras Tiekėjas gali pateikti už Sutarties vykdymą atsakingam asmeniui arba informacinės sistemos „SABIS“ priemonėmis. Elektroninės Sąskaitos, atitinkančios Europos elektroninių sąskaitų faktūrų standartą, teikiamos Vykdytojo pasirinktomis priemonėmis. Europos elektroninių sąskaitų faktūrų standarto neatitinkančios elektroninės Sąskaitos teikiamos tik naudojantis informacinės sistemos „SABIS“ priemonėmis. Perkančioji organizacija elektronines Sąskaitas priima ir apdoroja naudodamasis informacinės sistemos „SABIS“ priemonėmis, išskyrus Įstatymo 22 straipsnio 12 dalyje nustatytus atvejus ir atvejus, kai pirkimo sutartys sudaromos žodžiu. Tiekėjo išrašoma Sąskaita privalo atitikti įstatymų reikalavimus. Tiekėjo išrašomoje Sąskaitoje papildomai privalo būti nurodytas Vykdytojo PVM mokėtojo kodas, Sutarties numeris, pasirašyto Prekių / Paslaugų perdavimo – priėmimo akto numeris ir data, Šalių atsakingų asmenų kontaktai, kita Sutarties Specialiosiose sąlygose nurodyta informacija.</w:t>
      </w:r>
    </w:p>
    <w:p>
      <w:pPr>
        <w:pStyle w:val="Normal"/>
        <w:jc w:val="both"/>
        <w:rPr>
          <w:rFonts w:ascii="Arial" w:hAnsi="Arial" w:cs="Arial"/>
          <w:sz w:val="22"/>
          <w:szCs w:val="22"/>
        </w:rPr>
      </w:pPr>
      <w:r>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bCs/>
          <w:sz w:val="22"/>
          <w:szCs w:val="22"/>
        </w:rPr>
      </w:pPr>
      <w:r>
        <w:rPr>
          <w:rFonts w:cs="Arial" w:ascii="Arial" w:hAnsi="Arial"/>
          <w:b/>
          <w:bCs/>
          <w:sz w:val="22"/>
          <w:szCs w:val="22"/>
        </w:rPr>
        <w:t>5. PRIEDAI:</w:t>
      </w:r>
    </w:p>
    <w:p>
      <w:pPr>
        <w:pStyle w:val="Bodytext11"/>
        <w:shd w:val="clear" w:color="auto" w:fill="auto"/>
        <w:tabs>
          <w:tab w:val="clear" w:pos="1296"/>
          <w:tab w:val="left" w:pos="0" w:leader="none"/>
        </w:tabs>
        <w:spacing w:lineRule="auto" w:line="240" w:before="0" w:after="0"/>
        <w:ind w:hanging="0" w:right="55"/>
        <w:jc w:val="both"/>
        <w:rPr>
          <w:rFonts w:ascii="Arial" w:hAnsi="Arial" w:cs="Arial"/>
          <w:b/>
          <w:bCs/>
          <w:sz w:val="22"/>
          <w:szCs w:val="22"/>
        </w:rPr>
      </w:pPr>
      <w:r>
        <w:rPr>
          <w:rFonts w:cs="Arial" w:ascii="Arial" w:hAnsi="Arial"/>
          <w:b/>
          <w:bCs/>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bCs/>
          <w:sz w:val="22"/>
          <w:szCs w:val="22"/>
        </w:rPr>
      </w:pPr>
      <w:r>
        <w:rPr>
          <w:rFonts w:cs="Arial" w:ascii="Arial" w:hAnsi="Arial"/>
          <w:b/>
          <w:bCs/>
          <w:sz w:val="22"/>
          <w:szCs w:val="22"/>
        </w:rPr>
        <w:t xml:space="preserve">1 PRIEDAS. TPVCAD </w:t>
      </w:r>
      <w:r>
        <w:rPr>
          <w:rFonts w:eastAsia="Calibri" w:cs="Arial" w:ascii="Arial" w:hAnsi="Arial" w:eastAsiaTheme="minorHAnsi"/>
          <w:b/>
          <w:bCs/>
          <w:color w:val="auto"/>
          <w:sz w:val="22"/>
          <w:szCs w:val="22"/>
          <w:lang w:eastAsia="en-US"/>
        </w:rPr>
        <w:t>draudžiamųjų sąrašas.</w:t>
      </w:r>
    </w:p>
    <w:sectPr>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trackRevisions/>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7404d"/>
    <w:pPr>
      <w:widowControl/>
      <w:suppressAutoHyphens w:val="true"/>
      <w:bidi w:val="0"/>
      <w:spacing w:before="0" w:after="0"/>
      <w:jc w:val="left"/>
    </w:pPr>
    <w:rPr>
      <w:rFonts w:ascii="Arial Unicode MS" w:hAnsi="Arial Unicode MS" w:eastAsia="Times New Roman" w:cs="Times New Roman"/>
      <w:color w:val="000000"/>
      <w:kern w:val="0"/>
      <w:sz w:val="24"/>
      <w:szCs w:val="24"/>
      <w:lang w:eastAsia="lt-LT" w:val="lt-LT" w:bidi="ar-SA"/>
    </w:rPr>
  </w:style>
  <w:style w:type="character" w:styleId="DefaultParagraphFont" w:default="1">
    <w:name w:val="Default Paragraph Font"/>
    <w:uiPriority w:val="1"/>
    <w:semiHidden/>
    <w:unhideWhenUsed/>
    <w:qFormat/>
    <w:rPr/>
  </w:style>
  <w:style w:type="character" w:styleId="Heading4" w:customStyle="1">
    <w:name w:val="Heading #4_"/>
    <w:link w:val="Heading41"/>
    <w:qFormat/>
    <w:locked/>
    <w:rsid w:val="00786897"/>
    <w:rPr>
      <w:rFonts w:ascii="Times New Roman" w:hAnsi="Times New Roman" w:cs="Times New Roman"/>
      <w:b/>
      <w:bCs/>
      <w:sz w:val="23"/>
      <w:szCs w:val="23"/>
      <w:shd w:fill="FFFFFF" w:val="clear"/>
    </w:rPr>
  </w:style>
  <w:style w:type="character" w:styleId="Bodytext" w:customStyle="1">
    <w:name w:val="Body text_"/>
    <w:link w:val="Bodytext11"/>
    <w:qFormat/>
    <w:locked/>
    <w:rsid w:val="00786897"/>
    <w:rPr>
      <w:rFonts w:ascii="Times New Roman" w:hAnsi="Times New Roman" w:cs="Times New Roman"/>
      <w:sz w:val="23"/>
      <w:szCs w:val="23"/>
      <w:shd w:fill="FFFFFF" w:val="clear"/>
    </w:rPr>
  </w:style>
  <w:style w:type="character" w:styleId="Bodytext2" w:customStyle="1">
    <w:name w:val="Body text (2)_"/>
    <w:link w:val="Bodytext21"/>
    <w:qFormat/>
    <w:locked/>
    <w:rsid w:val="00786897"/>
    <w:rPr>
      <w:rFonts w:ascii="Times New Roman" w:hAnsi="Times New Roman" w:cs="Times New Roman"/>
      <w:i/>
      <w:iCs/>
      <w:sz w:val="23"/>
      <w:szCs w:val="23"/>
      <w:shd w:fill="FFFFFF" w:val="clear"/>
    </w:rPr>
  </w:style>
  <w:style w:type="character" w:styleId="Bodytext2NotItalic2" w:customStyle="1">
    <w:name w:val="Body text (2) + Not Italic2"/>
    <w:basedOn w:val="Bodytext2"/>
    <w:qFormat/>
    <w:rsid w:val="00786897"/>
    <w:rPr>
      <w:rFonts w:ascii="Times New Roman" w:hAnsi="Times New Roman" w:cs="Times New Roman"/>
      <w:i/>
      <w:iCs/>
      <w:sz w:val="23"/>
      <w:szCs w:val="23"/>
      <w:shd w:fill="FFFFFF" w:val="clear"/>
    </w:rPr>
  </w:style>
  <w:style w:type="character" w:styleId="Bodytext2Bold" w:customStyle="1">
    <w:name w:val="Body text (2) + Bold"/>
    <w:qFormat/>
    <w:rsid w:val="00786897"/>
    <w:rPr>
      <w:rFonts w:ascii="Times New Roman" w:hAnsi="Times New Roman" w:cs="Times New Roman"/>
      <w:b/>
      <w:bCs/>
      <w:i/>
      <w:iCs/>
      <w:spacing w:val="0"/>
      <w:sz w:val="23"/>
      <w:szCs w:val="23"/>
    </w:rPr>
  </w:style>
  <w:style w:type="character" w:styleId="Bodytext2Bold1" w:customStyle="1">
    <w:name w:val="Body text (2) + Bold1"/>
    <w:qFormat/>
    <w:rsid w:val="00786897"/>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786897"/>
    <w:rPr>
      <w:rFonts w:ascii="Times New Roman" w:hAnsi="Times New Roman" w:cs="Times New Roman"/>
      <w:i/>
      <w:iCs/>
      <w:sz w:val="23"/>
      <w:szCs w:val="23"/>
      <w:shd w:fill="FFFFFF" w:val="clear"/>
    </w:rPr>
  </w:style>
  <w:style w:type="character" w:styleId="Emphasis">
    <w:name w:val="Emphasis"/>
    <w:basedOn w:val="DefaultParagraphFont"/>
    <w:uiPriority w:val="20"/>
    <w:qFormat/>
    <w:rsid w:val="00670da6"/>
    <w:rPr>
      <w:i/>
      <w:iCs/>
    </w:rPr>
  </w:style>
  <w:style w:type="character" w:styleId="SraopastraipaDiagrama" w:customStyle="1">
    <w:name w:val="Sąrašo pastraipa Diagrama"/>
    <w:link w:val="ListParagraph"/>
    <w:uiPriority w:val="34"/>
    <w:qFormat/>
    <w:locked/>
    <w:rsid w:val="001c6e5b"/>
    <w:rPr>
      <w:rFonts w:ascii="Arial Unicode MS" w:hAnsi="Arial Unicode MS" w:eastAsia="Times New Roman" w:cs="Times New Roman"/>
      <w:color w:val="000000"/>
      <w:sz w:val="24"/>
      <w:szCs w:val="24"/>
      <w:lang w:eastAsia="lt-LT"/>
    </w:rPr>
  </w:style>
  <w:style w:type="character" w:styleId="CommentReference">
    <w:name w:val="annotation reference"/>
    <w:basedOn w:val="DefaultParagraphFont"/>
    <w:uiPriority w:val="99"/>
    <w:semiHidden/>
    <w:unhideWhenUsed/>
    <w:qFormat/>
    <w:rsid w:val="00ca2ce9"/>
    <w:rPr>
      <w:sz w:val="16"/>
      <w:szCs w:val="16"/>
    </w:rPr>
  </w:style>
  <w:style w:type="character" w:styleId="KomentarotekstasDiagrama" w:customStyle="1">
    <w:name w:val="Komentaro tekstas Diagrama"/>
    <w:basedOn w:val="DefaultParagraphFont"/>
    <w:uiPriority w:val="99"/>
    <w:qFormat/>
    <w:rsid w:val="00ca2ce9"/>
    <w:rPr>
      <w:rFonts w:ascii="Arial Unicode MS" w:hAnsi="Arial Unicode MS" w:eastAsia="Times New Roman" w:cs="Times New Roman"/>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ca2ce9"/>
    <w:rPr>
      <w:rFonts w:ascii="Arial Unicode MS" w:hAnsi="Arial Unicode MS" w:eastAsia="Times New Roman" w:cs="Times New Roman"/>
      <w:b/>
      <w:bCs/>
      <w:color w:val="000000"/>
      <w:sz w:val="20"/>
      <w:szCs w:val="20"/>
      <w:lang w:eastAsia="lt-LT"/>
    </w:rPr>
  </w:style>
  <w:style w:type="character" w:styleId="LineNumbering">
    <w:name w:val="Line Numbering"/>
    <w:qFormat/>
    <w:rPr/>
  </w:style>
  <w:style w:type="character" w:styleId="LineNumber">
    <w:name w:val="line number"/>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next w:val="BodyText1"/>
    <w:qFormat/>
    <w:pPr>
      <w:suppressLineNumbers/>
      <w:spacing w:before="120" w:after="120"/>
    </w:pPr>
    <w:rPr>
      <w:rFonts w:cs="Lucida Sans"/>
      <w:i/>
      <w:iCs/>
    </w:rPr>
  </w:style>
  <w:style w:type="paragraph" w:styleId="Rodykl" w:customStyle="1">
    <w:name w:val="Rodyklė"/>
    <w:basedOn w:val="Normal"/>
    <w:qFormat/>
    <w:pPr>
      <w:suppressLineNumbers/>
    </w:pPr>
    <w:rPr>
      <w:rFonts w:cs="Lucida Sans"/>
    </w:rPr>
  </w:style>
  <w:style w:type="paragraph" w:styleId="Heading41" w:customStyle="1">
    <w:name w:val="Heading #4"/>
    <w:basedOn w:val="Normal"/>
    <w:link w:val="Heading4"/>
    <w:qFormat/>
    <w:rsid w:val="00786897"/>
    <w:pPr>
      <w:shd w:val="clear" w:color="auto" w:fill="FFFFFF"/>
      <w:spacing w:lineRule="exact" w:line="269" w:before="240" w:after="240"/>
      <w:jc w:val="right"/>
      <w:outlineLvl w:val="3"/>
    </w:pPr>
    <w:rPr>
      <w:rFonts w:ascii="Times New Roman" w:hAnsi="Times New Roman" w:eastAsia="Calibri" w:eastAsiaTheme="minorHAnsi"/>
      <w:b/>
      <w:bCs/>
      <w:color w:val="auto"/>
      <w:sz w:val="23"/>
      <w:szCs w:val="23"/>
      <w:lang w:eastAsia="en-US"/>
    </w:rPr>
  </w:style>
  <w:style w:type="paragraph" w:styleId="Bodytext11" w:customStyle="1">
    <w:name w:val="Body text1"/>
    <w:basedOn w:val="Normal"/>
    <w:link w:val="Bodytext"/>
    <w:qFormat/>
    <w:rsid w:val="00786897"/>
    <w:pPr>
      <w:shd w:val="clear" w:color="auto" w:fill="FFFFFF"/>
      <w:spacing w:lineRule="exact" w:line="274" w:before="240" w:after="240"/>
      <w:ind w:hanging="1060"/>
    </w:pPr>
    <w:rPr>
      <w:rFonts w:ascii="Times New Roman" w:hAnsi="Times New Roman" w:eastAsia="Calibri" w:eastAsiaTheme="minorHAnsi"/>
      <w:color w:val="auto"/>
      <w:sz w:val="23"/>
      <w:szCs w:val="23"/>
      <w:lang w:eastAsia="en-US"/>
    </w:rPr>
  </w:style>
  <w:style w:type="paragraph" w:styleId="Bodytext21" w:customStyle="1">
    <w:name w:val="Body text (2)"/>
    <w:basedOn w:val="Normal"/>
    <w:link w:val="Bodytext2"/>
    <w:qFormat/>
    <w:rsid w:val="00786897"/>
    <w:pPr>
      <w:shd w:val="clear" w:color="auto" w:fill="FFFFFF"/>
      <w:spacing w:lineRule="exact" w:line="269"/>
      <w:ind w:hanging="400"/>
    </w:pPr>
    <w:rPr>
      <w:rFonts w:ascii="Times New Roman" w:hAnsi="Times New Roman" w:eastAsia="Calibri" w:eastAsiaTheme="minorHAnsi"/>
      <w:i/>
      <w:iCs/>
      <w:color w:val="auto"/>
      <w:sz w:val="23"/>
      <w:szCs w:val="23"/>
      <w:lang w:eastAsia="en-US"/>
    </w:rPr>
  </w:style>
  <w:style w:type="paragraph" w:styleId="ListParagraph">
    <w:name w:val="List Paragraph"/>
    <w:basedOn w:val="Normal"/>
    <w:link w:val="SraopastraipaDiagrama"/>
    <w:uiPriority w:val="34"/>
    <w:qFormat/>
    <w:rsid w:val="00a44836"/>
    <w:pPr>
      <w:spacing w:before="0" w:after="0"/>
      <w:ind w:left="720"/>
      <w:contextualSpacing/>
    </w:pPr>
    <w:rPr/>
  </w:style>
  <w:style w:type="paragraph" w:styleId="Revision">
    <w:name w:val="Revision"/>
    <w:uiPriority w:val="99"/>
    <w:semiHidden/>
    <w:qFormat/>
    <w:rsid w:val="00a9768f"/>
    <w:pPr>
      <w:widowControl/>
      <w:suppressAutoHyphens w:val="true"/>
      <w:bidi w:val="0"/>
      <w:spacing w:before="0" w:after="0"/>
      <w:jc w:val="left"/>
    </w:pPr>
    <w:rPr>
      <w:rFonts w:ascii="Arial Unicode MS" w:hAnsi="Arial Unicode MS" w:eastAsia="Times New Roman" w:cs="Times New Roman"/>
      <w:color w:val="000000"/>
      <w:kern w:val="0"/>
      <w:sz w:val="24"/>
      <w:szCs w:val="24"/>
      <w:lang w:eastAsia="lt-LT" w:val="lt-LT" w:bidi="ar-SA"/>
    </w:rPr>
  </w:style>
  <w:style w:type="paragraph" w:styleId="CommentText">
    <w:name w:val="annotation text"/>
    <w:basedOn w:val="Normal"/>
    <w:link w:val="KomentarotekstasDiagrama"/>
    <w:uiPriority w:val="99"/>
    <w:unhideWhenUsed/>
    <w:rsid w:val="00ca2ce9"/>
    <w:pPr/>
    <w:rPr>
      <w:sz w:val="20"/>
      <w:szCs w:val="20"/>
    </w:rPr>
  </w:style>
  <w:style w:type="paragraph" w:styleId="annotationsubject">
    <w:name w:val="annotation subject"/>
    <w:basedOn w:val="CommentText"/>
    <w:next w:val="CommentText"/>
    <w:link w:val="KomentarotemaDiagrama"/>
    <w:uiPriority w:val="99"/>
    <w:semiHidden/>
    <w:unhideWhenUsed/>
    <w:qFormat/>
    <w:rsid w:val="00ca2ce9"/>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611b0c"/>
    <w:rPr>
      <w:lang w:eastAsia="lt-LT"/>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uiPriority w:val="99"/>
    <w:rsid w:val="003f7301"/>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2">
    <w:name w:val="Lentelės tinklelis2"/>
    <w:basedOn w:val="prastojilentel"/>
    <w:uiPriority w:val="99"/>
    <w:rsid w:val="00c02ed6"/>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LibreOffice/24.8.0.3$Windows_X86_64 LibreOffice_project/0bdf1299c94fe897b119f97f3c613e9dca6be583</Application>
  <AppVersion>15.0000</AppVersion>
  <Pages>3</Pages>
  <Words>1029</Words>
  <Characters>7327</Characters>
  <CharactersWithSpaces>8259</CharactersWithSpaces>
  <Paragraphs>119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2026-06-17T11:10:00Z</dcterms:created>
  <dc:creator>Audronė Vaitekūnienė | VMU</dc:creator>
  <dc:description/>
  <dc:language>lt-LT</dc:language>
  <cp:lastModifiedBy/>
  <dcterms:modified xsi:type="dcterms:W3CDTF">2026-06-17T15:11:06Z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ActionId">
    <vt:lpwstr>8c7bce9b-378f-4cd5-861d-fb0f2681e692</vt:lpwstr>
  </property>
  <property fmtid="{D5CDD505-2E9C-101B-9397-08002B2CF9AE}" pid="3" name="MSIP_Label_9043f10a-881e-4653-a55e-02ca2cc829dc_ContentBits">
    <vt:lpwstr>0</vt:lpwstr>
  </property>
  <property fmtid="{D5CDD505-2E9C-101B-9397-08002B2CF9AE}" pid="4" name="MSIP_Label_9043f10a-881e-4653-a55e-02ca2cc829dc_Enabled">
    <vt:lpwstr>true</vt:lpwstr>
  </property>
  <property fmtid="{D5CDD505-2E9C-101B-9397-08002B2CF9AE}" pid="5" name="MSIP_Label_9043f10a-881e-4653-a55e-02ca2cc829dc_Method">
    <vt:lpwstr>Standard</vt:lpwstr>
  </property>
  <property fmtid="{D5CDD505-2E9C-101B-9397-08002B2CF9AE}" pid="6" name="MSIP_Label_9043f10a-881e-4653-a55e-02ca2cc829dc_Name">
    <vt:lpwstr>ADC_class_200</vt:lpwstr>
  </property>
  <property fmtid="{D5CDD505-2E9C-101B-9397-08002B2CF9AE}" pid="7" name="MSIP_Label_9043f10a-881e-4653-a55e-02ca2cc829dc_SetDate">
    <vt:lpwstr>2024-05-30T06:19:47Z</vt:lpwstr>
  </property>
  <property fmtid="{D5CDD505-2E9C-101B-9397-08002B2CF9AE}" pid="8" name="MSIP_Label_9043f10a-881e-4653-a55e-02ca2cc829dc_SiteId">
    <vt:lpwstr>94cfddbc-0627-494a-ad7a-29aea3aea832</vt:lpwstr>
  </property>
</Properties>
</file>